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61" w:rsidRDefault="00CD3361" w:rsidP="003B0651">
      <w:pPr>
        <w:jc w:val="center"/>
        <w:rPr>
          <w:rFonts w:asciiTheme="minorHAnsi" w:hAnsiTheme="minorHAnsi" w:cstheme="minorHAnsi"/>
          <w:b/>
        </w:rPr>
      </w:pPr>
      <w:r>
        <w:rPr>
          <w:rFonts w:asciiTheme="minorHAnsi" w:hAnsiTheme="minorHAnsi" w:cstheme="minorHAnsi"/>
          <w:b/>
        </w:rPr>
        <w:t>Burmistrz Polic</w:t>
      </w:r>
    </w:p>
    <w:p w:rsidR="00CD3361" w:rsidRDefault="00CD3361" w:rsidP="00655799">
      <w:pPr>
        <w:jc w:val="center"/>
        <w:rPr>
          <w:rFonts w:asciiTheme="minorHAnsi" w:hAnsiTheme="minorHAnsi" w:cstheme="minorHAnsi"/>
          <w:b/>
        </w:rPr>
      </w:pPr>
    </w:p>
    <w:p w:rsidR="00CD3361" w:rsidRDefault="00CD3361" w:rsidP="00655799">
      <w:pPr>
        <w:pStyle w:val="Tekstpodstawowy"/>
        <w:spacing w:line="240" w:lineRule="auto"/>
        <w:jc w:val="left"/>
        <w:rPr>
          <w:rFonts w:asciiTheme="minorHAnsi" w:hAnsiTheme="minorHAnsi" w:cstheme="minorHAnsi"/>
        </w:rPr>
      </w:pPr>
      <w:r>
        <w:rPr>
          <w:rFonts w:asciiTheme="minorHAnsi" w:hAnsiTheme="minorHAnsi" w:cstheme="minorHAnsi"/>
        </w:rPr>
        <w:t xml:space="preserve">ogłasza pierwszy przetarg ustny nieograniczony na </w:t>
      </w:r>
      <w:r>
        <w:rPr>
          <w:rFonts w:asciiTheme="minorHAnsi" w:hAnsiTheme="minorHAnsi" w:cstheme="minorHAnsi"/>
          <w:b/>
        </w:rPr>
        <w:t>sprzedaż</w:t>
      </w:r>
      <w:r w:rsidR="00B60A04">
        <w:rPr>
          <w:rFonts w:asciiTheme="minorHAnsi" w:hAnsiTheme="minorHAnsi" w:cstheme="minorHAnsi"/>
        </w:rPr>
        <w:t xml:space="preserve">  następującej n</w:t>
      </w:r>
      <w:r>
        <w:rPr>
          <w:rFonts w:asciiTheme="minorHAnsi" w:hAnsiTheme="minorHAnsi" w:cstheme="minorHAnsi"/>
        </w:rPr>
        <w:t>ieruchomości:</w:t>
      </w:r>
    </w:p>
    <w:p w:rsidR="00CD3361" w:rsidRDefault="00CD3361" w:rsidP="00CD3361">
      <w:pPr>
        <w:rPr>
          <w:rFonts w:asciiTheme="minorHAnsi" w:hAnsiTheme="minorHAnsi" w:cs="Arial"/>
          <w:sz w:val="22"/>
          <w:szCs w:val="22"/>
        </w:rPr>
      </w:pPr>
    </w:p>
    <w:tbl>
      <w:tblPr>
        <w:tblStyle w:val="Tabela-Siatka"/>
        <w:tblW w:w="0" w:type="auto"/>
        <w:tblInd w:w="108" w:type="dxa"/>
        <w:tblLook w:val="04A0" w:firstRow="1" w:lastRow="0" w:firstColumn="1" w:lastColumn="0" w:noHBand="0" w:noVBand="1"/>
      </w:tblPr>
      <w:tblGrid>
        <w:gridCol w:w="1673"/>
        <w:gridCol w:w="928"/>
        <w:gridCol w:w="1843"/>
        <w:gridCol w:w="1842"/>
        <w:gridCol w:w="1276"/>
        <w:gridCol w:w="1559"/>
      </w:tblGrid>
      <w:tr w:rsidR="00CD3361" w:rsidTr="00623E00">
        <w:tc>
          <w:tcPr>
            <w:tcW w:w="1624" w:type="dxa"/>
            <w:tcBorders>
              <w:top w:val="single" w:sz="4" w:space="0" w:color="auto"/>
              <w:left w:val="single" w:sz="4" w:space="0" w:color="auto"/>
              <w:bottom w:val="single" w:sz="4" w:space="0" w:color="auto"/>
              <w:right w:val="single" w:sz="4" w:space="0" w:color="auto"/>
            </w:tcBorders>
            <w:hideMark/>
          </w:tcPr>
          <w:p w:rsidR="00BD597E" w:rsidRDefault="00BD597E">
            <w:pPr>
              <w:jc w:val="center"/>
              <w:rPr>
                <w:rFonts w:asciiTheme="minorHAnsi" w:hAnsiTheme="minorHAnsi"/>
                <w:b/>
                <w:sz w:val="20"/>
                <w:szCs w:val="20"/>
                <w:lang w:eastAsia="en-US"/>
              </w:rPr>
            </w:pPr>
          </w:p>
          <w:p w:rsidR="00BD597E" w:rsidRDefault="00BD597E">
            <w:pPr>
              <w:jc w:val="center"/>
              <w:rPr>
                <w:rFonts w:asciiTheme="minorHAnsi" w:hAnsiTheme="minorHAnsi"/>
                <w:b/>
                <w:sz w:val="20"/>
                <w:szCs w:val="20"/>
                <w:lang w:eastAsia="en-US"/>
              </w:rPr>
            </w:pP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POŁOŻENIE NIERUCHOMOŚCI</w:t>
            </w:r>
          </w:p>
        </w:tc>
        <w:tc>
          <w:tcPr>
            <w:tcW w:w="928" w:type="dxa"/>
            <w:tcBorders>
              <w:top w:val="single" w:sz="4" w:space="0" w:color="auto"/>
              <w:left w:val="single" w:sz="4" w:space="0" w:color="auto"/>
              <w:bottom w:val="single" w:sz="4" w:space="0" w:color="auto"/>
              <w:right w:val="single" w:sz="4" w:space="0" w:color="auto"/>
            </w:tcBorders>
            <w:hideMark/>
          </w:tcPr>
          <w:p w:rsidR="00BD597E" w:rsidRDefault="00BD597E">
            <w:pPr>
              <w:jc w:val="center"/>
              <w:rPr>
                <w:rFonts w:asciiTheme="minorHAnsi" w:hAnsiTheme="minorHAnsi"/>
                <w:b/>
                <w:sz w:val="20"/>
                <w:szCs w:val="20"/>
                <w:lang w:eastAsia="en-US"/>
              </w:rPr>
            </w:pPr>
          </w:p>
          <w:p w:rsidR="00BD597E" w:rsidRDefault="00BD597E">
            <w:pPr>
              <w:jc w:val="center"/>
              <w:rPr>
                <w:rFonts w:asciiTheme="minorHAnsi" w:hAnsiTheme="minorHAnsi"/>
                <w:b/>
                <w:sz w:val="20"/>
                <w:szCs w:val="20"/>
                <w:lang w:eastAsia="en-US"/>
              </w:rPr>
            </w:pP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NUMER</w:t>
            </w: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DZIAŁKI</w:t>
            </w:r>
          </w:p>
        </w:tc>
        <w:tc>
          <w:tcPr>
            <w:tcW w:w="1843" w:type="dxa"/>
            <w:tcBorders>
              <w:top w:val="single" w:sz="4" w:space="0" w:color="auto"/>
              <w:left w:val="single" w:sz="4" w:space="0" w:color="auto"/>
              <w:bottom w:val="single" w:sz="4" w:space="0" w:color="auto"/>
              <w:right w:val="single" w:sz="4" w:space="0" w:color="auto"/>
            </w:tcBorders>
            <w:hideMark/>
          </w:tcPr>
          <w:p w:rsidR="00BD597E" w:rsidRDefault="00BD597E">
            <w:pPr>
              <w:jc w:val="center"/>
              <w:rPr>
                <w:rFonts w:asciiTheme="minorHAnsi" w:hAnsiTheme="minorHAnsi"/>
                <w:b/>
                <w:sz w:val="20"/>
                <w:szCs w:val="20"/>
                <w:lang w:eastAsia="en-US"/>
              </w:rPr>
            </w:pPr>
          </w:p>
          <w:p w:rsidR="00BD597E" w:rsidRDefault="00BD597E">
            <w:pPr>
              <w:jc w:val="center"/>
              <w:rPr>
                <w:rFonts w:asciiTheme="minorHAnsi" w:hAnsiTheme="minorHAnsi"/>
                <w:b/>
                <w:sz w:val="20"/>
                <w:szCs w:val="20"/>
                <w:lang w:eastAsia="en-US"/>
              </w:rPr>
            </w:pP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POWIERZCHNIA</w:t>
            </w:r>
          </w:p>
        </w:tc>
        <w:tc>
          <w:tcPr>
            <w:tcW w:w="1842" w:type="dxa"/>
            <w:tcBorders>
              <w:top w:val="single" w:sz="4" w:space="0" w:color="auto"/>
              <w:left w:val="single" w:sz="4" w:space="0" w:color="auto"/>
              <w:bottom w:val="single" w:sz="4" w:space="0" w:color="auto"/>
              <w:right w:val="single" w:sz="4" w:space="0" w:color="auto"/>
            </w:tcBorders>
            <w:hideMark/>
          </w:tcPr>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 xml:space="preserve">CENA WYWOŁAWCZA BRUTTO </w:t>
            </w: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(zawiera  podatek VAT w  stawce 23%)</w:t>
            </w:r>
          </w:p>
        </w:tc>
        <w:tc>
          <w:tcPr>
            <w:tcW w:w="1276" w:type="dxa"/>
            <w:tcBorders>
              <w:top w:val="single" w:sz="4" w:space="0" w:color="auto"/>
              <w:left w:val="single" w:sz="4" w:space="0" w:color="auto"/>
              <w:bottom w:val="single" w:sz="4" w:space="0" w:color="auto"/>
              <w:right w:val="single" w:sz="4" w:space="0" w:color="auto"/>
            </w:tcBorders>
            <w:hideMark/>
          </w:tcPr>
          <w:p w:rsidR="00BD597E" w:rsidRDefault="00BD597E">
            <w:pPr>
              <w:jc w:val="center"/>
              <w:rPr>
                <w:rFonts w:asciiTheme="minorHAnsi" w:hAnsiTheme="minorHAnsi"/>
                <w:b/>
                <w:sz w:val="20"/>
                <w:szCs w:val="20"/>
                <w:lang w:eastAsia="en-US"/>
              </w:rPr>
            </w:pPr>
          </w:p>
          <w:p w:rsidR="00BD597E" w:rsidRDefault="00BD597E">
            <w:pPr>
              <w:jc w:val="center"/>
              <w:rPr>
                <w:rFonts w:asciiTheme="minorHAnsi" w:hAnsiTheme="minorHAnsi"/>
                <w:b/>
                <w:sz w:val="20"/>
                <w:szCs w:val="20"/>
                <w:lang w:eastAsia="en-US"/>
              </w:rPr>
            </w:pP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WADIUM</w:t>
            </w:r>
          </w:p>
        </w:tc>
        <w:tc>
          <w:tcPr>
            <w:tcW w:w="1559" w:type="dxa"/>
            <w:tcBorders>
              <w:top w:val="single" w:sz="4" w:space="0" w:color="auto"/>
              <w:left w:val="single" w:sz="4" w:space="0" w:color="auto"/>
              <w:bottom w:val="single" w:sz="4" w:space="0" w:color="auto"/>
              <w:right w:val="single" w:sz="4" w:space="0" w:color="auto"/>
            </w:tcBorders>
            <w:hideMark/>
          </w:tcPr>
          <w:p w:rsidR="00BD597E" w:rsidRDefault="00BD597E">
            <w:pPr>
              <w:jc w:val="center"/>
              <w:rPr>
                <w:rFonts w:asciiTheme="minorHAnsi" w:hAnsiTheme="minorHAnsi"/>
                <w:b/>
                <w:sz w:val="20"/>
                <w:szCs w:val="20"/>
                <w:lang w:eastAsia="en-US"/>
              </w:rPr>
            </w:pPr>
          </w:p>
          <w:p w:rsidR="00BD597E" w:rsidRDefault="00BD597E">
            <w:pPr>
              <w:jc w:val="center"/>
              <w:rPr>
                <w:rFonts w:asciiTheme="minorHAnsi" w:hAnsiTheme="minorHAnsi"/>
                <w:b/>
                <w:sz w:val="20"/>
                <w:szCs w:val="20"/>
                <w:lang w:eastAsia="en-US"/>
              </w:rPr>
            </w:pP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MINIMALNE</w:t>
            </w:r>
          </w:p>
          <w:p w:rsidR="00CD3361" w:rsidRDefault="00CD3361">
            <w:pPr>
              <w:jc w:val="center"/>
              <w:rPr>
                <w:rFonts w:asciiTheme="minorHAnsi" w:hAnsiTheme="minorHAnsi"/>
                <w:b/>
                <w:sz w:val="20"/>
                <w:szCs w:val="20"/>
                <w:lang w:eastAsia="en-US"/>
              </w:rPr>
            </w:pPr>
            <w:r>
              <w:rPr>
                <w:rFonts w:asciiTheme="minorHAnsi" w:hAnsiTheme="minorHAnsi"/>
                <w:b/>
                <w:sz w:val="20"/>
                <w:szCs w:val="20"/>
                <w:lang w:eastAsia="en-US"/>
              </w:rPr>
              <w:t>POSTĄPIENIE</w:t>
            </w:r>
          </w:p>
        </w:tc>
      </w:tr>
      <w:tr w:rsidR="00CD3361" w:rsidTr="00623E00">
        <w:trPr>
          <w:trHeight w:val="739"/>
        </w:trPr>
        <w:tc>
          <w:tcPr>
            <w:tcW w:w="1624" w:type="dxa"/>
            <w:vMerge w:val="restart"/>
            <w:tcBorders>
              <w:top w:val="single" w:sz="4" w:space="0" w:color="auto"/>
              <w:left w:val="single" w:sz="4" w:space="0" w:color="auto"/>
              <w:right w:val="single" w:sz="4" w:space="0" w:color="auto"/>
            </w:tcBorders>
          </w:tcPr>
          <w:p w:rsidR="00CD3361" w:rsidRDefault="00CD3361">
            <w:pPr>
              <w:rPr>
                <w:rFonts w:asciiTheme="minorHAnsi" w:hAnsiTheme="minorHAnsi"/>
                <w:sz w:val="22"/>
                <w:szCs w:val="22"/>
                <w:lang w:eastAsia="en-US"/>
              </w:rPr>
            </w:pPr>
            <w:r>
              <w:rPr>
                <w:rFonts w:asciiTheme="minorHAnsi" w:hAnsiTheme="minorHAnsi"/>
                <w:sz w:val="22"/>
                <w:szCs w:val="22"/>
                <w:lang w:eastAsia="en-US"/>
              </w:rPr>
              <w:t>Gmina Police</w:t>
            </w:r>
          </w:p>
          <w:p w:rsidR="00CD3361" w:rsidRDefault="00CD3361">
            <w:pPr>
              <w:rPr>
                <w:rFonts w:asciiTheme="minorHAnsi" w:hAnsiTheme="minorHAnsi"/>
                <w:sz w:val="22"/>
                <w:szCs w:val="22"/>
                <w:lang w:eastAsia="en-US"/>
              </w:rPr>
            </w:pPr>
            <w:r>
              <w:rPr>
                <w:rFonts w:asciiTheme="minorHAnsi" w:hAnsiTheme="minorHAnsi"/>
                <w:sz w:val="22"/>
                <w:szCs w:val="22"/>
                <w:lang w:eastAsia="en-US"/>
              </w:rPr>
              <w:t>obręb Tanowo</w:t>
            </w:r>
          </w:p>
          <w:p w:rsidR="00CD3361" w:rsidRDefault="00CD3361">
            <w:pPr>
              <w:rPr>
                <w:rFonts w:asciiTheme="minorHAnsi" w:hAnsiTheme="minorHAnsi"/>
                <w:sz w:val="22"/>
                <w:szCs w:val="22"/>
                <w:lang w:eastAsia="en-US"/>
              </w:rPr>
            </w:pPr>
          </w:p>
        </w:tc>
        <w:tc>
          <w:tcPr>
            <w:tcW w:w="928" w:type="dxa"/>
            <w:vMerge w:val="restart"/>
            <w:tcBorders>
              <w:top w:val="single" w:sz="4" w:space="0" w:color="auto"/>
              <w:left w:val="single" w:sz="4" w:space="0" w:color="auto"/>
              <w:right w:val="single" w:sz="4" w:space="0" w:color="auto"/>
            </w:tcBorders>
            <w:hideMark/>
          </w:tcPr>
          <w:p w:rsidR="00CD3361" w:rsidRDefault="00CD3361">
            <w:pPr>
              <w:rPr>
                <w:rFonts w:asciiTheme="minorHAnsi" w:hAnsiTheme="minorHAnsi"/>
                <w:sz w:val="22"/>
                <w:szCs w:val="22"/>
                <w:lang w:eastAsia="en-US"/>
              </w:rPr>
            </w:pPr>
            <w:r>
              <w:rPr>
                <w:rFonts w:asciiTheme="minorHAnsi" w:hAnsiTheme="minorHAnsi"/>
                <w:sz w:val="22"/>
                <w:szCs w:val="22"/>
                <w:lang w:eastAsia="en-US"/>
              </w:rPr>
              <w:t>297/14</w:t>
            </w:r>
          </w:p>
          <w:p w:rsidR="00CD3361" w:rsidRDefault="00CD3361">
            <w:pPr>
              <w:rPr>
                <w:rFonts w:asciiTheme="minorHAnsi" w:hAnsiTheme="minorHAnsi"/>
                <w:sz w:val="22"/>
                <w:szCs w:val="22"/>
                <w:lang w:eastAsia="en-US"/>
              </w:rPr>
            </w:pPr>
            <w:r>
              <w:rPr>
                <w:rFonts w:asciiTheme="minorHAnsi" w:hAnsiTheme="minorHAnsi"/>
                <w:sz w:val="22"/>
                <w:szCs w:val="22"/>
                <w:lang w:eastAsia="en-US"/>
              </w:rPr>
              <w:t>297/31</w:t>
            </w:r>
          </w:p>
        </w:tc>
        <w:tc>
          <w:tcPr>
            <w:tcW w:w="1843" w:type="dxa"/>
            <w:tcBorders>
              <w:top w:val="single" w:sz="4" w:space="0" w:color="auto"/>
              <w:left w:val="single" w:sz="4" w:space="0" w:color="auto"/>
              <w:bottom w:val="single" w:sz="4" w:space="0" w:color="auto"/>
              <w:right w:val="single" w:sz="4" w:space="0" w:color="auto"/>
            </w:tcBorders>
            <w:hideMark/>
          </w:tcPr>
          <w:p w:rsidR="00CD3361" w:rsidRDefault="00CD3361" w:rsidP="00B60A04">
            <w:pPr>
              <w:jc w:val="center"/>
              <w:rPr>
                <w:rFonts w:asciiTheme="minorHAnsi" w:hAnsiTheme="minorHAnsi"/>
                <w:sz w:val="22"/>
                <w:szCs w:val="22"/>
                <w:vertAlign w:val="superscript"/>
                <w:lang w:eastAsia="en-US"/>
              </w:rPr>
            </w:pPr>
            <w:r>
              <w:rPr>
                <w:rFonts w:asciiTheme="minorHAnsi" w:hAnsiTheme="minorHAnsi"/>
                <w:sz w:val="22"/>
                <w:szCs w:val="22"/>
                <w:lang w:eastAsia="en-US"/>
              </w:rPr>
              <w:t>0,0430 ha</w:t>
            </w:r>
          </w:p>
          <w:p w:rsidR="00CD3361" w:rsidRDefault="00CD3361" w:rsidP="00B60A04">
            <w:pPr>
              <w:jc w:val="center"/>
              <w:rPr>
                <w:rFonts w:asciiTheme="minorHAnsi" w:hAnsiTheme="minorHAnsi"/>
                <w:sz w:val="22"/>
                <w:szCs w:val="22"/>
                <w:vertAlign w:val="superscript"/>
                <w:lang w:eastAsia="en-US"/>
              </w:rPr>
            </w:pPr>
            <w:r>
              <w:rPr>
                <w:rFonts w:asciiTheme="minorHAnsi" w:hAnsiTheme="minorHAnsi"/>
                <w:sz w:val="22"/>
                <w:szCs w:val="22"/>
                <w:lang w:eastAsia="en-US"/>
              </w:rPr>
              <w:t>0,0298 ha</w:t>
            </w:r>
          </w:p>
          <w:p w:rsidR="00CD3361" w:rsidRDefault="00CD3361">
            <w:pPr>
              <w:rPr>
                <w:rFonts w:asciiTheme="minorHAnsi" w:hAnsiTheme="minorHAnsi"/>
                <w:sz w:val="22"/>
                <w:szCs w:val="22"/>
                <w:vertAlign w:val="superscript"/>
                <w:lang w:eastAsia="en-US"/>
              </w:rPr>
            </w:pPr>
          </w:p>
        </w:tc>
        <w:tc>
          <w:tcPr>
            <w:tcW w:w="1842" w:type="dxa"/>
            <w:vMerge w:val="restart"/>
            <w:tcBorders>
              <w:top w:val="single" w:sz="4" w:space="0" w:color="auto"/>
              <w:left w:val="single" w:sz="4" w:space="0" w:color="auto"/>
              <w:right w:val="single" w:sz="4" w:space="0" w:color="auto"/>
            </w:tcBorders>
            <w:hideMark/>
          </w:tcPr>
          <w:p w:rsidR="00B60A04" w:rsidRDefault="00B60A04" w:rsidP="00B60A04">
            <w:pPr>
              <w:jc w:val="center"/>
              <w:rPr>
                <w:rFonts w:asciiTheme="minorHAnsi" w:hAnsiTheme="minorHAnsi"/>
                <w:sz w:val="22"/>
                <w:szCs w:val="22"/>
                <w:lang w:eastAsia="en-US"/>
              </w:rPr>
            </w:pPr>
          </w:p>
          <w:p w:rsidR="00CD3361" w:rsidRDefault="00CD3361" w:rsidP="00B60A04">
            <w:pPr>
              <w:jc w:val="center"/>
              <w:rPr>
                <w:rFonts w:asciiTheme="minorHAnsi" w:hAnsiTheme="minorHAnsi"/>
                <w:sz w:val="22"/>
                <w:szCs w:val="22"/>
                <w:lang w:eastAsia="en-US"/>
              </w:rPr>
            </w:pPr>
            <w:r>
              <w:rPr>
                <w:rFonts w:asciiTheme="minorHAnsi" w:hAnsiTheme="minorHAnsi"/>
                <w:sz w:val="22"/>
                <w:szCs w:val="22"/>
                <w:lang w:eastAsia="en-US"/>
              </w:rPr>
              <w:t>78 000,00 zł</w:t>
            </w:r>
          </w:p>
          <w:p w:rsidR="00CD3361" w:rsidRDefault="00CD3361">
            <w:pPr>
              <w:rPr>
                <w:rFonts w:asciiTheme="minorHAnsi" w:hAnsiTheme="minorHAnsi"/>
                <w:sz w:val="22"/>
                <w:szCs w:val="22"/>
                <w:lang w:eastAsia="en-US"/>
              </w:rPr>
            </w:pPr>
          </w:p>
        </w:tc>
        <w:tc>
          <w:tcPr>
            <w:tcW w:w="1276" w:type="dxa"/>
            <w:vMerge w:val="restart"/>
            <w:tcBorders>
              <w:top w:val="single" w:sz="4" w:space="0" w:color="auto"/>
              <w:left w:val="single" w:sz="4" w:space="0" w:color="auto"/>
              <w:right w:val="single" w:sz="4" w:space="0" w:color="auto"/>
            </w:tcBorders>
            <w:hideMark/>
          </w:tcPr>
          <w:p w:rsidR="00CD3361" w:rsidRDefault="00CD3361">
            <w:pPr>
              <w:rPr>
                <w:rFonts w:asciiTheme="minorHAnsi" w:hAnsiTheme="minorHAnsi"/>
                <w:sz w:val="22"/>
                <w:szCs w:val="22"/>
                <w:lang w:eastAsia="en-US"/>
              </w:rPr>
            </w:pPr>
          </w:p>
          <w:p w:rsidR="00CD3361" w:rsidRDefault="003B0651">
            <w:pPr>
              <w:rPr>
                <w:rFonts w:asciiTheme="minorHAnsi" w:hAnsiTheme="minorHAnsi"/>
                <w:sz w:val="22"/>
                <w:szCs w:val="22"/>
                <w:lang w:eastAsia="en-US"/>
              </w:rPr>
            </w:pPr>
            <w:r>
              <w:rPr>
                <w:rFonts w:asciiTheme="minorHAnsi" w:hAnsiTheme="minorHAnsi"/>
                <w:sz w:val="22"/>
                <w:szCs w:val="22"/>
                <w:lang w:eastAsia="en-US"/>
              </w:rPr>
              <w:t>4</w:t>
            </w:r>
            <w:r w:rsidR="00CD3361">
              <w:rPr>
                <w:rFonts w:asciiTheme="minorHAnsi" w:hAnsiTheme="minorHAnsi"/>
                <w:sz w:val="22"/>
                <w:szCs w:val="22"/>
                <w:lang w:eastAsia="en-US"/>
              </w:rPr>
              <w:t> 000,00 zł</w:t>
            </w:r>
          </w:p>
          <w:p w:rsidR="00CD3361" w:rsidRDefault="00CD3361">
            <w:pPr>
              <w:rPr>
                <w:rFonts w:asciiTheme="minorHAnsi" w:hAnsiTheme="minorHAnsi"/>
                <w:sz w:val="22"/>
                <w:szCs w:val="22"/>
                <w:lang w:eastAsia="en-US"/>
              </w:rPr>
            </w:pPr>
          </w:p>
        </w:tc>
        <w:tc>
          <w:tcPr>
            <w:tcW w:w="1559" w:type="dxa"/>
            <w:vMerge w:val="restart"/>
            <w:tcBorders>
              <w:top w:val="single" w:sz="4" w:space="0" w:color="auto"/>
              <w:left w:val="single" w:sz="4" w:space="0" w:color="auto"/>
              <w:right w:val="single" w:sz="4" w:space="0" w:color="auto"/>
            </w:tcBorders>
            <w:hideMark/>
          </w:tcPr>
          <w:p w:rsidR="00CD3361" w:rsidRDefault="00CD3361">
            <w:pPr>
              <w:rPr>
                <w:rFonts w:asciiTheme="minorHAnsi" w:hAnsiTheme="minorHAnsi"/>
                <w:sz w:val="22"/>
                <w:szCs w:val="22"/>
                <w:lang w:eastAsia="en-US"/>
              </w:rPr>
            </w:pPr>
          </w:p>
          <w:p w:rsidR="00CD3361" w:rsidRDefault="00CD3361">
            <w:pPr>
              <w:rPr>
                <w:rFonts w:asciiTheme="minorHAnsi" w:hAnsiTheme="minorHAnsi"/>
                <w:sz w:val="22"/>
                <w:szCs w:val="22"/>
                <w:lang w:eastAsia="en-US"/>
              </w:rPr>
            </w:pPr>
            <w:r>
              <w:rPr>
                <w:rFonts w:asciiTheme="minorHAnsi" w:hAnsiTheme="minorHAnsi"/>
                <w:sz w:val="22"/>
                <w:szCs w:val="22"/>
                <w:lang w:eastAsia="en-US"/>
              </w:rPr>
              <w:t>1 000,00 zł</w:t>
            </w:r>
          </w:p>
          <w:p w:rsidR="00CD3361" w:rsidRDefault="00CD3361">
            <w:pPr>
              <w:rPr>
                <w:rFonts w:asciiTheme="minorHAnsi" w:hAnsiTheme="minorHAnsi"/>
                <w:sz w:val="22"/>
                <w:szCs w:val="22"/>
                <w:lang w:eastAsia="en-US"/>
              </w:rPr>
            </w:pPr>
          </w:p>
        </w:tc>
      </w:tr>
      <w:tr w:rsidR="00CD3361" w:rsidTr="00623E00">
        <w:trPr>
          <w:trHeight w:val="879"/>
        </w:trPr>
        <w:tc>
          <w:tcPr>
            <w:tcW w:w="1624" w:type="dxa"/>
            <w:vMerge/>
            <w:tcBorders>
              <w:left w:val="single" w:sz="4" w:space="0" w:color="auto"/>
              <w:bottom w:val="single" w:sz="4" w:space="0" w:color="auto"/>
              <w:right w:val="single" w:sz="4" w:space="0" w:color="auto"/>
            </w:tcBorders>
          </w:tcPr>
          <w:p w:rsidR="00CD3361" w:rsidRDefault="00CD3361">
            <w:pPr>
              <w:rPr>
                <w:rFonts w:asciiTheme="minorHAnsi" w:hAnsiTheme="minorHAnsi"/>
                <w:sz w:val="22"/>
                <w:szCs w:val="22"/>
                <w:lang w:eastAsia="en-US"/>
              </w:rPr>
            </w:pPr>
          </w:p>
        </w:tc>
        <w:tc>
          <w:tcPr>
            <w:tcW w:w="928" w:type="dxa"/>
            <w:vMerge/>
            <w:tcBorders>
              <w:left w:val="single" w:sz="4" w:space="0" w:color="auto"/>
              <w:bottom w:val="single" w:sz="4" w:space="0" w:color="auto"/>
              <w:right w:val="single" w:sz="4" w:space="0" w:color="auto"/>
            </w:tcBorders>
          </w:tcPr>
          <w:p w:rsidR="00CD3361" w:rsidRDefault="00CD3361">
            <w:pPr>
              <w:rPr>
                <w:rFonts w:asciiTheme="minorHAnsi" w:hAnsi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CD3361" w:rsidRDefault="00CD3361" w:rsidP="00CD3361">
            <w:pPr>
              <w:rPr>
                <w:rFonts w:asciiTheme="minorHAnsi" w:hAnsiTheme="minorHAnsi"/>
                <w:sz w:val="22"/>
                <w:szCs w:val="22"/>
                <w:lang w:eastAsia="en-US"/>
              </w:rPr>
            </w:pPr>
            <w:r>
              <w:rPr>
                <w:rFonts w:asciiTheme="minorHAnsi" w:hAnsiTheme="minorHAnsi"/>
                <w:sz w:val="22"/>
                <w:szCs w:val="22"/>
                <w:lang w:eastAsia="en-US"/>
              </w:rPr>
              <w:t>łącznie: 0,</w:t>
            </w:r>
            <w:r w:rsidR="00B60A04">
              <w:rPr>
                <w:rFonts w:asciiTheme="minorHAnsi" w:hAnsiTheme="minorHAnsi"/>
                <w:sz w:val="22"/>
                <w:szCs w:val="22"/>
                <w:lang w:eastAsia="en-US"/>
              </w:rPr>
              <w:t>0</w:t>
            </w:r>
            <w:r>
              <w:rPr>
                <w:rFonts w:asciiTheme="minorHAnsi" w:hAnsiTheme="minorHAnsi"/>
                <w:sz w:val="22"/>
                <w:szCs w:val="22"/>
                <w:lang w:eastAsia="en-US"/>
              </w:rPr>
              <w:t>728 ha</w:t>
            </w:r>
          </w:p>
        </w:tc>
        <w:tc>
          <w:tcPr>
            <w:tcW w:w="1842" w:type="dxa"/>
            <w:vMerge/>
            <w:tcBorders>
              <w:left w:val="single" w:sz="4" w:space="0" w:color="auto"/>
              <w:bottom w:val="single" w:sz="4" w:space="0" w:color="auto"/>
              <w:right w:val="single" w:sz="4" w:space="0" w:color="auto"/>
            </w:tcBorders>
          </w:tcPr>
          <w:p w:rsidR="00CD3361" w:rsidRDefault="00CD3361">
            <w:pPr>
              <w:rPr>
                <w:rFonts w:asciiTheme="minorHAnsi" w:hAnsiTheme="minorHAnsi"/>
                <w:sz w:val="22"/>
                <w:szCs w:val="22"/>
                <w:lang w:eastAsia="en-US"/>
              </w:rPr>
            </w:pPr>
          </w:p>
        </w:tc>
        <w:tc>
          <w:tcPr>
            <w:tcW w:w="1276" w:type="dxa"/>
            <w:vMerge/>
            <w:tcBorders>
              <w:left w:val="single" w:sz="4" w:space="0" w:color="auto"/>
              <w:bottom w:val="single" w:sz="4" w:space="0" w:color="auto"/>
              <w:right w:val="single" w:sz="4" w:space="0" w:color="auto"/>
            </w:tcBorders>
          </w:tcPr>
          <w:p w:rsidR="00CD3361" w:rsidRDefault="00CD3361">
            <w:pPr>
              <w:rPr>
                <w:rFonts w:asciiTheme="minorHAnsi" w:hAnsiTheme="minorHAnsi"/>
                <w:sz w:val="22"/>
                <w:szCs w:val="22"/>
                <w:lang w:eastAsia="en-US"/>
              </w:rPr>
            </w:pPr>
          </w:p>
        </w:tc>
        <w:tc>
          <w:tcPr>
            <w:tcW w:w="1559" w:type="dxa"/>
            <w:vMerge/>
            <w:tcBorders>
              <w:left w:val="single" w:sz="4" w:space="0" w:color="auto"/>
              <w:bottom w:val="single" w:sz="4" w:space="0" w:color="auto"/>
              <w:right w:val="single" w:sz="4" w:space="0" w:color="auto"/>
            </w:tcBorders>
          </w:tcPr>
          <w:p w:rsidR="00CD3361" w:rsidRDefault="00CD3361">
            <w:pPr>
              <w:rPr>
                <w:rFonts w:asciiTheme="minorHAnsi" w:hAnsiTheme="minorHAnsi"/>
                <w:sz w:val="22"/>
                <w:szCs w:val="22"/>
                <w:lang w:eastAsia="en-US"/>
              </w:rPr>
            </w:pPr>
          </w:p>
        </w:tc>
      </w:tr>
    </w:tbl>
    <w:p w:rsidR="00CD3361" w:rsidRPr="00655799" w:rsidRDefault="00CD3361" w:rsidP="00655799">
      <w:pPr>
        <w:pStyle w:val="Tekstpodstawowy"/>
        <w:spacing w:line="240" w:lineRule="auto"/>
        <w:rPr>
          <w:rFonts w:ascii="Calibri" w:hAnsi="Calibri" w:cs="Calibri"/>
        </w:rPr>
      </w:pPr>
      <w:r w:rsidRPr="00BD597E">
        <w:rPr>
          <w:rFonts w:asciiTheme="minorHAnsi" w:hAnsiTheme="minorHAnsi"/>
          <w:b/>
          <w:sz w:val="22"/>
          <w:szCs w:val="22"/>
        </w:rPr>
        <w:t>Opis nieruchomości:</w:t>
      </w:r>
      <w:r>
        <w:rPr>
          <w:rFonts w:asciiTheme="minorHAnsi" w:hAnsiTheme="minorHAnsi"/>
          <w:sz w:val="22"/>
          <w:szCs w:val="22"/>
        </w:rPr>
        <w:t xml:space="preserve"> </w:t>
      </w:r>
      <w:r w:rsidR="00E5678E" w:rsidRPr="00E5678E">
        <w:rPr>
          <w:rFonts w:asciiTheme="minorHAnsi" w:hAnsiTheme="minorHAnsi"/>
        </w:rPr>
        <w:t>ni</w:t>
      </w:r>
      <w:r w:rsidR="00B60A04" w:rsidRPr="00E5678E">
        <w:rPr>
          <w:rFonts w:ascii="Calibri" w:hAnsi="Calibri" w:cs="Calibri"/>
        </w:rPr>
        <w:t>eru</w:t>
      </w:r>
      <w:r w:rsidR="00B60A04">
        <w:rPr>
          <w:rFonts w:ascii="Calibri" w:hAnsi="Calibri" w:cs="Calibri"/>
        </w:rPr>
        <w:t>chomość składa się z działek oznaczonych numerami 297/14, 297/31 o łącznej powierzchni 728 m</w:t>
      </w:r>
      <w:r w:rsidR="00B60A04">
        <w:rPr>
          <w:rFonts w:ascii="Calibri" w:hAnsi="Calibri" w:cs="Calibri"/>
          <w:vertAlign w:val="superscript"/>
        </w:rPr>
        <w:t>2</w:t>
      </w:r>
      <w:r w:rsidR="00B60A04">
        <w:rPr>
          <w:rFonts w:ascii="Calibri" w:hAnsi="Calibri" w:cs="Calibri"/>
        </w:rPr>
        <w:t xml:space="preserve">. Położona jest w centralnej części miejscowości Tanowo, na zapleczu nieruchomości zabudowanej sklepem ogólnospożywczym. Stanowi zespół dwóch nieforemnych działek, teren płaski. Od strony północnej przylega do terenów zabudowy jednorodzinnej, od południowej do drogi - ciąg pieszo-jezdny od ulicy Szczecińskiej, przy której  znajduje się teren budowy kościoła i budynku plebanii. </w:t>
      </w:r>
      <w:r w:rsidR="003B0651">
        <w:rPr>
          <w:rFonts w:ascii="Calibri" w:hAnsi="Calibri" w:cs="Calibri"/>
        </w:rPr>
        <w:br/>
      </w:r>
      <w:r w:rsidR="00E5678E">
        <w:rPr>
          <w:rFonts w:ascii="Calibri" w:hAnsi="Calibri" w:cs="Calibri"/>
        </w:rPr>
        <w:t xml:space="preserve">Dla nieruchomości prowadzona jest  przez Sąd Rejonowy Szczecin-Prawobrzeże i Zachód </w:t>
      </w:r>
      <w:r w:rsidR="003B0651">
        <w:rPr>
          <w:rFonts w:ascii="Calibri" w:hAnsi="Calibri" w:cs="Calibri"/>
        </w:rPr>
        <w:br/>
      </w:r>
      <w:r w:rsidR="00E5678E">
        <w:rPr>
          <w:rFonts w:ascii="Calibri" w:hAnsi="Calibri" w:cs="Calibri"/>
        </w:rPr>
        <w:t>w Szczecinie księga wieczysta numer SZ2S/00053777/2.</w:t>
      </w:r>
    </w:p>
    <w:p w:rsidR="00B60A04" w:rsidRDefault="00CD3361" w:rsidP="00B60A04">
      <w:pPr>
        <w:jc w:val="both"/>
        <w:rPr>
          <w:rFonts w:ascii="Calibri" w:hAnsi="Calibri" w:cs="Calibri"/>
          <w:bCs/>
        </w:rPr>
      </w:pPr>
      <w:r w:rsidRPr="00BD597E">
        <w:rPr>
          <w:rFonts w:asciiTheme="minorHAnsi" w:hAnsiTheme="minorHAnsi"/>
          <w:b/>
        </w:rPr>
        <w:t>Przeznaczenie w miejscowym planie zagospodarowania przestrzennego</w:t>
      </w:r>
      <w:r w:rsidRPr="00BD597E">
        <w:rPr>
          <w:rFonts w:asciiTheme="minorHAnsi" w:hAnsiTheme="minorHAnsi"/>
          <w:b/>
          <w:sz w:val="22"/>
          <w:szCs w:val="22"/>
        </w:rPr>
        <w:t>:</w:t>
      </w:r>
      <w:r>
        <w:rPr>
          <w:rFonts w:asciiTheme="minorHAnsi" w:hAnsiTheme="minorHAnsi"/>
          <w:sz w:val="22"/>
          <w:szCs w:val="22"/>
        </w:rPr>
        <w:t xml:space="preserve"> </w:t>
      </w:r>
      <w:r w:rsidR="00B60A04">
        <w:rPr>
          <w:rFonts w:ascii="Calibri" w:hAnsi="Calibri" w:cs="Calibri"/>
        </w:rPr>
        <w:t>zgodnie z Uchwałą Nr XXXV/370/21 Rady Miejskiej w Policach z dnia 26 października 2021r.(Dz. </w:t>
      </w:r>
      <w:proofErr w:type="spellStart"/>
      <w:r w:rsidR="00B60A04">
        <w:rPr>
          <w:rFonts w:ascii="Calibri" w:hAnsi="Calibri" w:cs="Calibri"/>
        </w:rPr>
        <w:t>Urzęd</w:t>
      </w:r>
      <w:proofErr w:type="spellEnd"/>
      <w:r w:rsidR="00B60A04">
        <w:rPr>
          <w:rFonts w:ascii="Calibri" w:hAnsi="Calibri" w:cs="Calibri"/>
        </w:rPr>
        <w:t xml:space="preserve">. Woj. Zachodniopomorskiego z dnia 14 stycznia 2022r. poz.249) w sprawie uchwalenia miejscowego planu zagospodarowania przestrzennego gminy Police obejmującego w części miejscowości Tanowo, Bartoszewo, Pilchowo, Przęsocin, </w:t>
      </w:r>
      <w:proofErr w:type="spellStart"/>
      <w:r w:rsidR="00B60A04">
        <w:rPr>
          <w:rFonts w:ascii="Calibri" w:hAnsi="Calibri" w:cs="Calibri"/>
        </w:rPr>
        <w:t>Wieńkowo</w:t>
      </w:r>
      <w:proofErr w:type="spellEnd"/>
      <w:r w:rsidR="00B60A04">
        <w:rPr>
          <w:rFonts w:ascii="Calibri" w:hAnsi="Calibri" w:cs="Calibri"/>
        </w:rPr>
        <w:t xml:space="preserve"> i Sierakowo pn. „Gmina Zachód”, nieruchomość  znajduje się w obrębie terenu elementarnego oznaczonego w planie symbolem 2U tj. teren zabudowy usługowej nieuciążliwej ( powierzchnia zabudowy do 40% działki budowlanej, wysokość zabudowy do dwóch kondygnacji -7,5 m od poziomu terenu przy najniżej położonym wejściu do budynku, do kalenicy lub najwyższego punktu </w:t>
      </w:r>
      <w:proofErr w:type="spellStart"/>
      <w:r w:rsidR="00B60A04">
        <w:rPr>
          <w:rFonts w:ascii="Calibri" w:hAnsi="Calibri" w:cs="Calibri"/>
        </w:rPr>
        <w:t>przekrycia</w:t>
      </w:r>
      <w:proofErr w:type="spellEnd"/>
      <w:r w:rsidR="00B60A04">
        <w:rPr>
          <w:rFonts w:ascii="Calibri" w:hAnsi="Calibri" w:cs="Calibri"/>
        </w:rPr>
        <w:t xml:space="preserve"> dachu, dachy strome dwuspadowe o kącie nachylenia 30</w:t>
      </w:r>
      <w:r w:rsidR="00B60A04">
        <w:rPr>
          <w:rFonts w:ascii="Calibri" w:hAnsi="Calibri" w:cs="Calibri"/>
          <w:vertAlign w:val="superscript"/>
        </w:rPr>
        <w:t>0</w:t>
      </w:r>
      <w:r w:rsidR="00B60A04">
        <w:rPr>
          <w:rFonts w:ascii="Calibri" w:hAnsi="Calibri" w:cs="Calibri"/>
        </w:rPr>
        <w:t>-45</w:t>
      </w:r>
      <w:r w:rsidR="00B60A04">
        <w:rPr>
          <w:rFonts w:ascii="Calibri" w:hAnsi="Calibri" w:cs="Calibri"/>
          <w:vertAlign w:val="superscript"/>
        </w:rPr>
        <w:t xml:space="preserve">0 </w:t>
      </w:r>
      <w:r w:rsidR="00B60A04">
        <w:rPr>
          <w:rFonts w:ascii="Calibri" w:hAnsi="Calibri" w:cs="Calibri"/>
        </w:rPr>
        <w:t>)</w:t>
      </w:r>
    </w:p>
    <w:p w:rsidR="00CD3361" w:rsidRDefault="00CD3361" w:rsidP="00B60A04">
      <w:pPr>
        <w:jc w:val="both"/>
        <w:rPr>
          <w:rFonts w:asciiTheme="minorHAnsi" w:hAnsiTheme="minorHAnsi" w:cs="Arial"/>
        </w:rPr>
      </w:pPr>
    </w:p>
    <w:p w:rsidR="00CD3361" w:rsidRDefault="00CD3361" w:rsidP="00CD3361">
      <w:pPr>
        <w:jc w:val="both"/>
        <w:rPr>
          <w:rFonts w:asciiTheme="minorHAnsi" w:hAnsiTheme="minorHAnsi" w:cs="Arial"/>
          <w:b/>
        </w:rPr>
      </w:pPr>
      <w:r>
        <w:rPr>
          <w:rFonts w:asciiTheme="minorHAnsi" w:hAnsiTheme="minorHAnsi" w:cs="Arial"/>
          <w:b/>
        </w:rPr>
        <w:t xml:space="preserve">Przetarg odbędzie się w dniu </w:t>
      </w:r>
      <w:r w:rsidR="00045051">
        <w:rPr>
          <w:rFonts w:asciiTheme="minorHAnsi" w:hAnsiTheme="minorHAnsi" w:cs="Arial"/>
          <w:b/>
        </w:rPr>
        <w:t>24 lipca</w:t>
      </w:r>
      <w:r w:rsidR="00B60A04">
        <w:rPr>
          <w:rFonts w:asciiTheme="minorHAnsi" w:hAnsiTheme="minorHAnsi" w:cs="Arial"/>
          <w:b/>
        </w:rPr>
        <w:t xml:space="preserve">  2024</w:t>
      </w:r>
      <w:r>
        <w:rPr>
          <w:rFonts w:asciiTheme="minorHAnsi" w:hAnsiTheme="minorHAnsi" w:cs="Arial"/>
          <w:b/>
        </w:rPr>
        <w:t xml:space="preserve">r. o godzinie 9 </w:t>
      </w:r>
      <w:r>
        <w:rPr>
          <w:rFonts w:asciiTheme="minorHAnsi" w:hAnsiTheme="minorHAnsi" w:cs="Arial"/>
          <w:b/>
          <w:vertAlign w:val="superscript"/>
        </w:rPr>
        <w:t xml:space="preserve">00 </w:t>
      </w:r>
      <w:r>
        <w:rPr>
          <w:rFonts w:asciiTheme="minorHAnsi" w:hAnsiTheme="minorHAnsi" w:cs="Arial"/>
          <w:b/>
        </w:rPr>
        <w:t xml:space="preserve"> w siedzibie Urzędu Miejskiego w Policach, ul. Stefana Batorego 3   (I piętro, sala konferencyjna - pok.32).</w:t>
      </w:r>
    </w:p>
    <w:p w:rsidR="00CD3361" w:rsidRDefault="00CD3361" w:rsidP="00CD3361">
      <w:pPr>
        <w:jc w:val="both"/>
        <w:rPr>
          <w:rFonts w:asciiTheme="minorHAnsi" w:hAnsiTheme="minorHAnsi"/>
          <w:b/>
        </w:rPr>
      </w:pPr>
    </w:p>
    <w:p w:rsidR="00CD3361" w:rsidRDefault="00CD3361" w:rsidP="00CD3361">
      <w:pPr>
        <w:jc w:val="both"/>
        <w:rPr>
          <w:rFonts w:asciiTheme="minorHAnsi" w:hAnsiTheme="minorHAnsi" w:cs="Arial"/>
        </w:rPr>
      </w:pPr>
      <w:r>
        <w:rPr>
          <w:rFonts w:asciiTheme="minorHAnsi" w:hAnsiTheme="minorHAnsi" w:cs="Arial"/>
        </w:rPr>
        <w:t>Do przetargu mogą przystąpić osoby fizyczne i prawne oraz cudzoziemcy. Cudzoziemcy będący obywatelami lub przedsiębiorcami państw spoza Europejskiego Obszaru Gospodarczego w dniu zawarcia aktu notarialnego muszą się okazać zgodą Ministra Spraw Wewnętrznych i Administracji na nabycie nieruchomości.</w:t>
      </w:r>
    </w:p>
    <w:p w:rsidR="00CD3361" w:rsidRDefault="00CD3361" w:rsidP="00CD3361">
      <w:pPr>
        <w:jc w:val="both"/>
        <w:rPr>
          <w:rFonts w:asciiTheme="minorHAnsi" w:hAnsiTheme="minorHAnsi"/>
          <w:b/>
        </w:rPr>
      </w:pPr>
      <w:r>
        <w:rPr>
          <w:rFonts w:asciiTheme="minorHAnsi" w:hAnsiTheme="minorHAnsi" w:cs="Arial"/>
        </w:rPr>
        <w:t>W przetargu mogą brać udział osoby, które wpłacą wadium</w:t>
      </w:r>
      <w:r>
        <w:rPr>
          <w:rFonts w:asciiTheme="minorHAnsi" w:hAnsiTheme="minorHAnsi"/>
          <w:b/>
        </w:rPr>
        <w:t xml:space="preserve">  najpóźniej do dnia </w:t>
      </w:r>
      <w:r w:rsidR="00045051">
        <w:rPr>
          <w:rFonts w:asciiTheme="minorHAnsi" w:hAnsiTheme="minorHAnsi"/>
          <w:b/>
        </w:rPr>
        <w:t>18 lipca</w:t>
      </w:r>
      <w:r w:rsidR="00B60A04">
        <w:rPr>
          <w:rFonts w:asciiTheme="minorHAnsi" w:hAnsiTheme="minorHAnsi"/>
          <w:b/>
        </w:rPr>
        <w:t xml:space="preserve"> </w:t>
      </w:r>
      <w:r>
        <w:rPr>
          <w:rFonts w:asciiTheme="minorHAnsi" w:hAnsiTheme="minorHAnsi"/>
          <w:b/>
        </w:rPr>
        <w:t xml:space="preserve"> 202</w:t>
      </w:r>
      <w:r w:rsidR="00B60A04">
        <w:rPr>
          <w:rFonts w:asciiTheme="minorHAnsi" w:hAnsiTheme="minorHAnsi"/>
          <w:b/>
        </w:rPr>
        <w:t>4</w:t>
      </w:r>
      <w:r>
        <w:rPr>
          <w:rFonts w:asciiTheme="minorHAnsi" w:hAnsiTheme="minorHAnsi"/>
          <w:b/>
        </w:rPr>
        <w:t>r</w:t>
      </w:r>
      <w:r>
        <w:rPr>
          <w:rFonts w:asciiTheme="minorHAnsi" w:hAnsiTheme="minorHAnsi" w:cs="Arial"/>
        </w:rPr>
        <w:t xml:space="preserve">. Wadium </w:t>
      </w:r>
      <w:r>
        <w:rPr>
          <w:rFonts w:asciiTheme="minorHAnsi" w:hAnsiTheme="minorHAnsi"/>
        </w:rPr>
        <w:t>należy wpłacić przelewem na rachunek Gminy Police prowadzony w II Oddziale Banku Pekao SA, nr rachunku: 15 1240 3927 1111 0010 6013 0076.</w:t>
      </w:r>
      <w:r>
        <w:rPr>
          <w:rFonts w:asciiTheme="minorHAnsi" w:hAnsiTheme="minorHAnsi"/>
          <w:b/>
        </w:rPr>
        <w:t xml:space="preserve"> Za datę wniesienia wadium uważa się</w:t>
      </w:r>
      <w:r>
        <w:rPr>
          <w:rFonts w:asciiTheme="minorHAnsi" w:hAnsiTheme="minorHAnsi"/>
        </w:rPr>
        <w:t xml:space="preserve"> </w:t>
      </w:r>
      <w:r>
        <w:rPr>
          <w:rFonts w:asciiTheme="minorHAnsi" w:hAnsiTheme="minorHAnsi"/>
          <w:b/>
          <w:bCs/>
        </w:rPr>
        <w:t>datę wpływu środków pieniężnych na rachunek Gminy Police. Przy dokonaniu wpłaty wadium należy podać oznaczenie nieruchomości (nr działki), której dotyczy wpłacane wadium oraz imię i nazwisko</w:t>
      </w:r>
      <w:r>
        <w:rPr>
          <w:rFonts w:asciiTheme="minorHAnsi" w:hAnsiTheme="minorHAnsi"/>
          <w:b/>
        </w:rPr>
        <w:t xml:space="preserve"> uczestnika przetargu.</w:t>
      </w:r>
    </w:p>
    <w:p w:rsidR="00CD3361" w:rsidRDefault="00CD3361" w:rsidP="00CD3361">
      <w:pPr>
        <w:jc w:val="both"/>
        <w:rPr>
          <w:rFonts w:asciiTheme="minorHAnsi" w:hAnsiTheme="minorHAnsi" w:cs="Arial"/>
        </w:rPr>
      </w:pPr>
    </w:p>
    <w:p w:rsidR="00CD3361" w:rsidRDefault="00CD3361" w:rsidP="00CD3361">
      <w:pPr>
        <w:jc w:val="both"/>
        <w:rPr>
          <w:rFonts w:asciiTheme="minorHAnsi" w:hAnsiTheme="minorHAnsi"/>
        </w:rPr>
      </w:pPr>
      <w:r>
        <w:rPr>
          <w:rFonts w:asciiTheme="minorHAnsi" w:hAnsiTheme="minorHAnsi"/>
        </w:rPr>
        <w:t>W przypadku uchylenia się uczestnika, który wygrał przetarg od zawarcia umowy sprzedaży, wpłacone wadium ulega przepadkowi.</w:t>
      </w:r>
      <w:bookmarkStart w:id="0" w:name="_Hlk495567120"/>
    </w:p>
    <w:p w:rsidR="00CD3361" w:rsidRDefault="00CD3361" w:rsidP="00CD3361">
      <w:pPr>
        <w:jc w:val="both"/>
        <w:rPr>
          <w:rFonts w:asciiTheme="minorHAnsi" w:hAnsiTheme="minorHAnsi" w:cs="Arial"/>
        </w:rPr>
      </w:pPr>
      <w:r>
        <w:rPr>
          <w:rFonts w:asciiTheme="minorHAnsi" w:hAnsiTheme="minorHAnsi" w:cs="Arial"/>
        </w:rPr>
        <w:t>Warunkiem wzięcia udziału w przetargu jest  przedłożenie Komisji Przetargowej:</w:t>
      </w:r>
    </w:p>
    <w:p w:rsidR="00CD3361" w:rsidRDefault="00CD3361" w:rsidP="00CD3361">
      <w:pPr>
        <w:numPr>
          <w:ilvl w:val="0"/>
          <w:numId w:val="1"/>
        </w:numPr>
        <w:jc w:val="both"/>
        <w:rPr>
          <w:rFonts w:asciiTheme="minorHAnsi" w:hAnsiTheme="minorHAnsi" w:cs="Arial"/>
        </w:rPr>
      </w:pPr>
      <w:r>
        <w:rPr>
          <w:rFonts w:asciiTheme="minorHAnsi" w:hAnsiTheme="minorHAnsi" w:cs="Arial"/>
        </w:rPr>
        <w:t xml:space="preserve">W przypadku osób fizycznych - dowodu tożsamości, </w:t>
      </w:r>
    </w:p>
    <w:p w:rsidR="00CD3361" w:rsidRDefault="00CD3361" w:rsidP="00CD3361">
      <w:pPr>
        <w:pStyle w:val="Akapitzlist"/>
        <w:numPr>
          <w:ilvl w:val="0"/>
          <w:numId w:val="1"/>
        </w:numPr>
        <w:jc w:val="both"/>
        <w:rPr>
          <w:rFonts w:asciiTheme="minorHAnsi" w:hAnsiTheme="minorHAnsi" w:cs="Arial"/>
        </w:rPr>
      </w:pPr>
      <w:r>
        <w:rPr>
          <w:rFonts w:asciiTheme="minorHAnsi" w:hAnsiTheme="minorHAnsi" w:cs="Arial"/>
        </w:rPr>
        <w:t>W przypadku osób fizycznych występujących i nabywających w ramach prowadzonej działalności gospodarczej</w:t>
      </w:r>
      <w:r w:rsidR="00B60A04">
        <w:rPr>
          <w:rFonts w:asciiTheme="minorHAnsi" w:hAnsiTheme="minorHAnsi" w:cs="Arial"/>
        </w:rPr>
        <w:t xml:space="preserve"> –</w:t>
      </w:r>
      <w:r>
        <w:rPr>
          <w:rFonts w:asciiTheme="minorHAnsi" w:hAnsiTheme="minorHAnsi" w:cs="Arial"/>
        </w:rPr>
        <w:t xml:space="preserve"> </w:t>
      </w:r>
      <w:r w:rsidR="00B60A04">
        <w:rPr>
          <w:rFonts w:asciiTheme="minorHAnsi" w:hAnsiTheme="minorHAnsi" w:cs="Arial"/>
        </w:rPr>
        <w:t xml:space="preserve">dowodu tożsamości, </w:t>
      </w:r>
      <w:r>
        <w:rPr>
          <w:rFonts w:asciiTheme="minorHAnsi" w:hAnsiTheme="minorHAnsi" w:cs="Arial"/>
        </w:rPr>
        <w:t xml:space="preserve">pisemnego oświadczenia o prowadzonej działalności gospodarczej, zawierające firmę przedsiębiorcy, numer NIP, regon, zgodnie z danymi zawartymi w Centralnej Ewidencji i Informacji o Działalności Gospodarczej (CEIDG)  </w:t>
      </w:r>
    </w:p>
    <w:p w:rsidR="00CD3361" w:rsidRDefault="00CD3361" w:rsidP="00CD3361">
      <w:pPr>
        <w:numPr>
          <w:ilvl w:val="0"/>
          <w:numId w:val="1"/>
        </w:numPr>
        <w:jc w:val="both"/>
        <w:rPr>
          <w:rFonts w:asciiTheme="minorHAnsi" w:hAnsiTheme="minorHAnsi" w:cs="Arial"/>
        </w:rPr>
      </w:pPr>
      <w:r>
        <w:rPr>
          <w:rFonts w:asciiTheme="minorHAnsi" w:hAnsiTheme="minorHAnsi" w:cs="Arial"/>
        </w:rPr>
        <w:t xml:space="preserve">W przypadku osób prawnych - aktualnego wypisu z Krajowego Rejestru Sądowego, stosownych pełnomocnictw, dowodów tożsamości osób reprezentujących dany podmiot. Aktualność wypisu z KRS winna być potwierdzona przez sąd w okresie nie dłuższym niż trzy miesiące przed przetargiem. Sprzedający dopuszcza złożenie informacji odpowiadającej odpisowi z aktualnego rejestru przedsiębiorców Krajowego Rejestru Sądowego pobranej zgodnie z art. 4 ust. 4a ustawy z dnia 20 sierpnia 1997 roku </w:t>
      </w:r>
      <w:r>
        <w:rPr>
          <w:rFonts w:asciiTheme="minorHAnsi" w:hAnsiTheme="minorHAnsi" w:cs="Arial"/>
        </w:rPr>
        <w:br/>
        <w:t xml:space="preserve">o Krajowym Rejestrze Sądowym.   </w:t>
      </w:r>
      <w:bookmarkEnd w:id="0"/>
    </w:p>
    <w:p w:rsidR="00CD3361" w:rsidRDefault="00CD3361" w:rsidP="00CD3361">
      <w:pPr>
        <w:jc w:val="both"/>
        <w:rPr>
          <w:rFonts w:asciiTheme="minorHAnsi" w:hAnsiTheme="minorHAnsi" w:cs="Arial"/>
          <w:b/>
        </w:rPr>
      </w:pPr>
      <w:r>
        <w:rPr>
          <w:rFonts w:asciiTheme="minorHAnsi" w:hAnsiTheme="minorHAnsi" w:cs="Arial"/>
          <w:b/>
        </w:rPr>
        <w:t xml:space="preserve">Osoby uczestniczące w przetargu jako pełnomocnicy są zobowiązane przedłożyć </w:t>
      </w:r>
      <w:r>
        <w:rPr>
          <w:rFonts w:asciiTheme="minorHAnsi" w:hAnsiTheme="minorHAnsi" w:cs="Arial"/>
          <w:b/>
          <w:bCs/>
        </w:rPr>
        <w:t>pełnomocnictwo udzielone w formie aktu notarialnego</w:t>
      </w:r>
      <w:r>
        <w:rPr>
          <w:rFonts w:asciiTheme="minorHAnsi" w:hAnsiTheme="minorHAnsi" w:cs="Arial"/>
          <w:b/>
        </w:rPr>
        <w:t>.</w:t>
      </w:r>
    </w:p>
    <w:p w:rsidR="00CD3361" w:rsidRDefault="00CD3361" w:rsidP="00CD3361">
      <w:pPr>
        <w:jc w:val="both"/>
        <w:rPr>
          <w:rFonts w:asciiTheme="minorHAnsi" w:hAnsiTheme="minorHAnsi" w:cs="Arial"/>
          <w:b/>
        </w:rPr>
      </w:pPr>
      <w:r>
        <w:rPr>
          <w:rFonts w:asciiTheme="minorHAnsi" w:hAnsiTheme="minorHAnsi" w:cs="Arial"/>
          <w:b/>
        </w:rPr>
        <w:t xml:space="preserve">W przypadku, gdy wadium zostanie wniesione przez </w:t>
      </w:r>
      <w:r>
        <w:rPr>
          <w:rFonts w:asciiTheme="minorHAnsi" w:hAnsiTheme="minorHAnsi" w:cs="Arial"/>
          <w:b/>
          <w:u w:val="single"/>
        </w:rPr>
        <w:t>oboje małżonków</w:t>
      </w:r>
      <w:r>
        <w:rPr>
          <w:rFonts w:asciiTheme="minorHAnsi" w:hAnsiTheme="minorHAnsi" w:cs="Arial"/>
          <w:b/>
        </w:rPr>
        <w:t xml:space="preserve">, </w:t>
      </w:r>
      <w:r>
        <w:rPr>
          <w:rFonts w:asciiTheme="minorHAnsi" w:hAnsiTheme="minorHAnsi" w:cs="Arial"/>
          <w:b/>
        </w:rPr>
        <w:br/>
        <w:t xml:space="preserve">w których związku małżeńskim </w:t>
      </w:r>
      <w:r>
        <w:rPr>
          <w:rFonts w:asciiTheme="minorHAnsi" w:hAnsiTheme="minorHAnsi" w:cs="Arial"/>
          <w:b/>
          <w:u w:val="single"/>
        </w:rPr>
        <w:t>nie ma ustanowionej rozdzielności</w:t>
      </w:r>
      <w:r>
        <w:rPr>
          <w:rFonts w:asciiTheme="minorHAnsi" w:hAnsiTheme="minorHAnsi" w:cs="Arial"/>
          <w:b/>
        </w:rPr>
        <w:t xml:space="preserve">  majątkowej, zobowiązani są oboje uczestniczyć w przetargu. Gdy w tym przypadku  </w:t>
      </w:r>
      <w:r>
        <w:rPr>
          <w:rFonts w:asciiTheme="minorHAnsi" w:hAnsiTheme="minorHAnsi" w:cs="Arial"/>
          <w:b/>
        </w:rPr>
        <w:br/>
        <w:t xml:space="preserve">w przetargu uczestniczyć będzie </w:t>
      </w:r>
      <w:r>
        <w:rPr>
          <w:rFonts w:asciiTheme="minorHAnsi" w:hAnsiTheme="minorHAnsi" w:cs="Arial"/>
          <w:b/>
          <w:u w:val="single"/>
        </w:rPr>
        <w:t>jeden</w:t>
      </w:r>
      <w:r>
        <w:rPr>
          <w:rFonts w:asciiTheme="minorHAnsi" w:hAnsiTheme="minorHAnsi" w:cs="Arial"/>
          <w:b/>
        </w:rPr>
        <w:t xml:space="preserve"> z małżonków, zobowiązany jest on do przedłożenia </w:t>
      </w:r>
      <w:r>
        <w:rPr>
          <w:rFonts w:asciiTheme="minorHAnsi" w:hAnsiTheme="minorHAnsi" w:cs="Arial"/>
          <w:b/>
          <w:bCs/>
          <w:u w:val="single"/>
        </w:rPr>
        <w:t xml:space="preserve">pełnomocnictwa </w:t>
      </w:r>
      <w:r>
        <w:rPr>
          <w:rFonts w:asciiTheme="minorHAnsi" w:hAnsiTheme="minorHAnsi" w:cs="Arial"/>
          <w:b/>
          <w:u w:val="single"/>
        </w:rPr>
        <w:t>współmałżonka</w:t>
      </w:r>
      <w:r>
        <w:rPr>
          <w:rFonts w:asciiTheme="minorHAnsi" w:hAnsiTheme="minorHAnsi" w:cs="Arial"/>
          <w:b/>
        </w:rPr>
        <w:t xml:space="preserve"> do udziału w przetargu i zawarcia umowy sprzedaży nieruchomości w jego imieniu. </w:t>
      </w:r>
      <w:r>
        <w:rPr>
          <w:rFonts w:asciiTheme="minorHAnsi" w:hAnsiTheme="minorHAnsi" w:cs="Arial"/>
          <w:b/>
          <w:bCs/>
        </w:rPr>
        <w:t>Pełnomocnictwo</w:t>
      </w:r>
      <w:r>
        <w:rPr>
          <w:rFonts w:asciiTheme="minorHAnsi" w:hAnsiTheme="minorHAnsi" w:cs="Arial"/>
          <w:b/>
        </w:rPr>
        <w:t xml:space="preserve"> musi być udzielone, pod rygorem nieważności,  </w:t>
      </w:r>
      <w:r>
        <w:rPr>
          <w:rFonts w:asciiTheme="minorHAnsi" w:hAnsiTheme="minorHAnsi" w:cs="Arial"/>
          <w:b/>
          <w:u w:val="single"/>
        </w:rPr>
        <w:t>w formie aktu notarialnego</w:t>
      </w:r>
      <w:r>
        <w:rPr>
          <w:rFonts w:asciiTheme="minorHAnsi" w:hAnsiTheme="minorHAnsi" w:cs="Arial"/>
          <w:b/>
        </w:rPr>
        <w:t>.</w:t>
      </w:r>
    </w:p>
    <w:p w:rsidR="00CD3361" w:rsidRDefault="00CD3361" w:rsidP="00CD3361">
      <w:pPr>
        <w:jc w:val="both"/>
        <w:rPr>
          <w:rFonts w:asciiTheme="minorHAnsi" w:hAnsiTheme="minorHAnsi" w:cs="Arial"/>
          <w:b/>
        </w:rPr>
      </w:pPr>
      <w:r>
        <w:rPr>
          <w:rFonts w:asciiTheme="minorHAnsi" w:hAnsiTheme="minorHAnsi" w:cs="Arial"/>
          <w:b/>
        </w:rPr>
        <w:t xml:space="preserve">W przypadku wniesienia wadium tylko </w:t>
      </w:r>
      <w:r>
        <w:rPr>
          <w:rFonts w:asciiTheme="minorHAnsi" w:hAnsiTheme="minorHAnsi" w:cs="Arial"/>
          <w:b/>
          <w:u w:val="single"/>
        </w:rPr>
        <w:t>przez jednego z małżonków</w:t>
      </w:r>
      <w:r>
        <w:rPr>
          <w:rFonts w:asciiTheme="minorHAnsi" w:hAnsiTheme="minorHAnsi" w:cs="Arial"/>
          <w:b/>
        </w:rPr>
        <w:t xml:space="preserve">, w których związku małżeńskim  </w:t>
      </w:r>
      <w:r>
        <w:rPr>
          <w:rFonts w:asciiTheme="minorHAnsi" w:hAnsiTheme="minorHAnsi" w:cs="Arial"/>
          <w:b/>
          <w:u w:val="single"/>
        </w:rPr>
        <w:t>nie ma   ustanowionej rozdzielności</w:t>
      </w:r>
      <w:r>
        <w:rPr>
          <w:rFonts w:asciiTheme="minorHAnsi" w:hAnsiTheme="minorHAnsi" w:cs="Arial"/>
          <w:b/>
        </w:rPr>
        <w:t xml:space="preserve"> majątkowej, małżonek uczestniczący w przetargu zobowiązany jest do przedłożenia </w:t>
      </w:r>
      <w:r>
        <w:rPr>
          <w:rFonts w:asciiTheme="minorHAnsi" w:hAnsiTheme="minorHAnsi" w:cs="Arial"/>
          <w:b/>
          <w:bCs/>
          <w:u w:val="single"/>
        </w:rPr>
        <w:t>oświadczenia</w:t>
      </w:r>
      <w:r>
        <w:rPr>
          <w:rFonts w:asciiTheme="minorHAnsi" w:hAnsiTheme="minorHAnsi" w:cs="Arial"/>
          <w:b/>
          <w:u w:val="single"/>
        </w:rPr>
        <w:t xml:space="preserve"> współmałżonka</w:t>
      </w:r>
      <w:r>
        <w:rPr>
          <w:rFonts w:asciiTheme="minorHAnsi" w:hAnsiTheme="minorHAnsi" w:cs="Arial"/>
          <w:b/>
        </w:rPr>
        <w:t xml:space="preserve"> o wyrażeniu zgody na nabycie nieruchomości  objętej przetargiem. Zgoda ta musi być wyrażona, pod rygorem nieważności, </w:t>
      </w:r>
      <w:r>
        <w:rPr>
          <w:rFonts w:asciiTheme="minorHAnsi" w:hAnsiTheme="minorHAnsi" w:cs="Arial"/>
          <w:b/>
          <w:u w:val="single"/>
        </w:rPr>
        <w:t>w formie aktu notarialnego</w:t>
      </w:r>
      <w:r>
        <w:rPr>
          <w:rFonts w:asciiTheme="minorHAnsi" w:hAnsiTheme="minorHAnsi" w:cs="Arial"/>
          <w:b/>
        </w:rPr>
        <w:t>.</w:t>
      </w:r>
    </w:p>
    <w:p w:rsidR="00CD3361" w:rsidRDefault="00CD3361" w:rsidP="00CD3361">
      <w:pPr>
        <w:jc w:val="both"/>
        <w:rPr>
          <w:rFonts w:asciiTheme="minorHAnsi" w:hAnsiTheme="minorHAnsi" w:cs="Arial"/>
          <w:b/>
        </w:rPr>
      </w:pPr>
      <w:r>
        <w:rPr>
          <w:rFonts w:asciiTheme="minorHAnsi" w:hAnsiTheme="minorHAnsi" w:cs="Arial"/>
          <w:b/>
        </w:rPr>
        <w:t xml:space="preserve">W przypadku, gdy jeden z małżonków zamierza przystąpić do przetargu </w:t>
      </w:r>
      <w:r>
        <w:rPr>
          <w:rFonts w:asciiTheme="minorHAnsi" w:hAnsiTheme="minorHAnsi" w:cs="Arial"/>
          <w:b/>
        </w:rPr>
        <w:br/>
        <w:t>i zawrzeć umowę nabycia we własnym imieniu, obowiązek wniesienia wadium obciąża wyłącznie jego. W tej sytuacji osoba ta jest  zobowiązana do złożenia pisemnego oświadczenia, że w jego małżeństwie obowiązuje ustrój rozdzielności majątkowej.</w:t>
      </w:r>
    </w:p>
    <w:p w:rsidR="00CD3361" w:rsidRDefault="00CD3361" w:rsidP="00CD3361">
      <w:pPr>
        <w:jc w:val="both"/>
        <w:rPr>
          <w:rFonts w:asciiTheme="minorHAnsi" w:hAnsiTheme="minorHAnsi" w:cs="Arial"/>
          <w:b/>
        </w:rPr>
      </w:pPr>
    </w:p>
    <w:p w:rsidR="00CD3361" w:rsidRDefault="00CD3361" w:rsidP="00CD3361">
      <w:pPr>
        <w:jc w:val="both"/>
        <w:rPr>
          <w:rFonts w:asciiTheme="minorHAnsi" w:hAnsiTheme="minorHAnsi" w:cs="Arial"/>
          <w:b/>
        </w:rPr>
      </w:pPr>
      <w:r>
        <w:rPr>
          <w:rFonts w:asciiTheme="minorHAnsi" w:hAnsiTheme="minorHAnsi" w:cs="Arial"/>
          <w:b/>
        </w:rPr>
        <w:t>Niedopełnienie powyższych warunków udziału w postępowaniu skutkować będzie odmową dopuszczenia do uczestnictwa w przetargu.</w:t>
      </w:r>
    </w:p>
    <w:p w:rsidR="00CD3361" w:rsidRDefault="00CD3361" w:rsidP="00CD3361">
      <w:pPr>
        <w:jc w:val="both"/>
        <w:rPr>
          <w:rFonts w:asciiTheme="minorHAnsi" w:hAnsiTheme="minorHAnsi" w:cs="Arial"/>
        </w:rPr>
      </w:pPr>
    </w:p>
    <w:p w:rsidR="00CD3361" w:rsidRDefault="00CD3361" w:rsidP="00CD3361">
      <w:pPr>
        <w:jc w:val="both"/>
        <w:rPr>
          <w:rFonts w:asciiTheme="minorHAnsi" w:hAnsiTheme="minorHAnsi"/>
        </w:rPr>
      </w:pPr>
      <w:r>
        <w:rPr>
          <w:rFonts w:asciiTheme="minorHAnsi" w:hAnsiTheme="minorHAnsi" w:cs="Arial"/>
        </w:rPr>
        <w:t>Przetarg jest ważny bez względu na liczbę uczestników, jeżeli przynajmniej  jeden uczestnik zaoferował co najmniej jedno postąpienie powyżej ceny wywoławczej.</w:t>
      </w:r>
    </w:p>
    <w:p w:rsidR="00CD3361" w:rsidRDefault="00CD3361" w:rsidP="00CD3361">
      <w:pPr>
        <w:jc w:val="both"/>
        <w:rPr>
          <w:rFonts w:asciiTheme="minorHAnsi" w:hAnsiTheme="minorHAnsi"/>
        </w:rPr>
      </w:pPr>
    </w:p>
    <w:p w:rsidR="00B60A04" w:rsidRDefault="00B60A04" w:rsidP="00CD3361">
      <w:pPr>
        <w:jc w:val="both"/>
        <w:rPr>
          <w:rFonts w:asciiTheme="minorHAnsi" w:hAnsiTheme="minorHAnsi"/>
        </w:rPr>
      </w:pPr>
    </w:p>
    <w:p w:rsidR="00B60A04" w:rsidRDefault="00B60A04" w:rsidP="00CD3361">
      <w:pPr>
        <w:jc w:val="both"/>
        <w:rPr>
          <w:rFonts w:asciiTheme="minorHAnsi" w:hAnsiTheme="minorHAnsi"/>
        </w:rPr>
      </w:pPr>
    </w:p>
    <w:p w:rsidR="00CD3361" w:rsidRDefault="00CD3361" w:rsidP="00CD3361">
      <w:pPr>
        <w:jc w:val="both"/>
        <w:rPr>
          <w:rFonts w:asciiTheme="minorHAnsi" w:hAnsiTheme="minorHAnsi"/>
        </w:rPr>
      </w:pPr>
      <w:r>
        <w:rPr>
          <w:rFonts w:asciiTheme="minorHAnsi" w:hAnsiTheme="minorHAnsi"/>
        </w:rPr>
        <w:t>Dodatkowe informacje:</w:t>
      </w:r>
    </w:p>
    <w:p w:rsidR="00CD3361" w:rsidRDefault="00CD3361" w:rsidP="00CD3361">
      <w:pPr>
        <w:numPr>
          <w:ilvl w:val="0"/>
          <w:numId w:val="2"/>
        </w:numPr>
        <w:jc w:val="both"/>
        <w:rPr>
          <w:rFonts w:asciiTheme="minorHAnsi" w:hAnsiTheme="minorHAnsi" w:cs="Arial"/>
        </w:rPr>
      </w:pPr>
      <w:r>
        <w:rPr>
          <w:rFonts w:asciiTheme="minorHAnsi" w:hAnsiTheme="minorHAnsi" w:cs="Arial"/>
        </w:rPr>
        <w:t xml:space="preserve">O warunki techniczne przyłączenia poszczególnych mediów Nabywca zobowiązany jest wystąpić do odpowiednich dostawców we własnym zakresie. </w:t>
      </w:r>
    </w:p>
    <w:p w:rsidR="00CD3361" w:rsidRPr="00472D3B" w:rsidRDefault="00CD3361" w:rsidP="00472D3B">
      <w:pPr>
        <w:numPr>
          <w:ilvl w:val="0"/>
          <w:numId w:val="2"/>
        </w:numPr>
        <w:jc w:val="both"/>
        <w:rPr>
          <w:rFonts w:asciiTheme="minorHAnsi" w:hAnsiTheme="minorHAnsi" w:cs="Arial"/>
        </w:rPr>
      </w:pPr>
      <w:r w:rsidRPr="00472D3B">
        <w:rPr>
          <w:rFonts w:asciiTheme="minorHAnsi" w:hAnsiTheme="minorHAnsi" w:cs="Arial"/>
        </w:rPr>
        <w:lastRenderedPageBreak/>
        <w:t xml:space="preserve">Nabywca zobowiązany jest do udostępnienia terenu osobom i jednostkom wykonującym czynności związane  z eksploatacją i konserwacją ewentualnych urządzeń i sieci </w:t>
      </w:r>
    </w:p>
    <w:p w:rsidR="00CD3361" w:rsidRDefault="00CD3361" w:rsidP="00CD3361">
      <w:pPr>
        <w:ind w:left="283"/>
        <w:jc w:val="both"/>
        <w:rPr>
          <w:rFonts w:asciiTheme="minorHAnsi" w:hAnsiTheme="minorHAnsi" w:cs="Arial"/>
        </w:rPr>
      </w:pPr>
      <w:r>
        <w:rPr>
          <w:rFonts w:asciiTheme="minorHAnsi" w:hAnsiTheme="minorHAnsi" w:cs="Arial"/>
        </w:rPr>
        <w:t>znajdujących się na działce, a w przypadku ich kolizji  z realizowaną inwestycją nabywca dokona ich przeniesienia w porozumieniu z właścicielem urządzenia lub sieci. Gmina nie ponosi kosztów związanych   z przeniesieniem sieci lub urządzeń.</w:t>
      </w:r>
    </w:p>
    <w:p w:rsidR="00CD3361" w:rsidRDefault="00CD3361" w:rsidP="00CD3361">
      <w:pPr>
        <w:numPr>
          <w:ilvl w:val="0"/>
          <w:numId w:val="2"/>
        </w:numPr>
        <w:jc w:val="both"/>
        <w:rPr>
          <w:rFonts w:asciiTheme="minorHAnsi" w:hAnsiTheme="minorHAnsi" w:cs="Arial"/>
        </w:rPr>
      </w:pPr>
      <w:r>
        <w:rPr>
          <w:rFonts w:asciiTheme="minorHAnsi" w:hAnsiTheme="minorHAnsi"/>
        </w:rPr>
        <w:t>Nabywca przejmuje wraz z gruntem obowiązek usunięcia z nieruchomości ewentualnych bezumownych użytkowników</w:t>
      </w:r>
      <w:r>
        <w:rPr>
          <w:rFonts w:asciiTheme="minorHAnsi" w:hAnsiTheme="minorHAnsi" w:cs="Arial"/>
        </w:rPr>
        <w:t>.</w:t>
      </w:r>
    </w:p>
    <w:p w:rsidR="00CD3361" w:rsidRDefault="00CD3361" w:rsidP="00CD3361">
      <w:pPr>
        <w:numPr>
          <w:ilvl w:val="0"/>
          <w:numId w:val="2"/>
        </w:numPr>
        <w:jc w:val="both"/>
        <w:rPr>
          <w:rFonts w:asciiTheme="minorHAnsi" w:hAnsiTheme="minorHAnsi" w:cs="Arial"/>
        </w:rPr>
      </w:pPr>
      <w:r>
        <w:rPr>
          <w:rFonts w:asciiTheme="minorHAnsi" w:hAnsiTheme="minorHAnsi" w:cs="Arial"/>
        </w:rPr>
        <w:t>Cena nieruchomości płatna jest w całości przed podpisaniem umowy notarialnej.</w:t>
      </w:r>
    </w:p>
    <w:p w:rsidR="00CD3361" w:rsidRDefault="00CD3361" w:rsidP="00CD3361">
      <w:pPr>
        <w:numPr>
          <w:ilvl w:val="0"/>
          <w:numId w:val="2"/>
        </w:numPr>
        <w:jc w:val="both"/>
        <w:rPr>
          <w:rFonts w:asciiTheme="minorHAnsi" w:hAnsiTheme="minorHAnsi"/>
        </w:rPr>
      </w:pPr>
      <w:r>
        <w:rPr>
          <w:rFonts w:asciiTheme="minorHAnsi" w:hAnsiTheme="minorHAnsi"/>
        </w:rPr>
        <w:t>Koszty notarialne w całości ponosi nabywca nieruchomości.</w:t>
      </w:r>
    </w:p>
    <w:p w:rsidR="003B0651" w:rsidRDefault="003B0651" w:rsidP="00CD3361">
      <w:pPr>
        <w:numPr>
          <w:ilvl w:val="0"/>
          <w:numId w:val="2"/>
        </w:numPr>
        <w:jc w:val="both"/>
        <w:rPr>
          <w:rFonts w:asciiTheme="minorHAnsi" w:hAnsiTheme="minorHAnsi"/>
        </w:rPr>
      </w:pPr>
      <w:r>
        <w:rPr>
          <w:rFonts w:ascii="Calibri" w:hAnsi="Calibri" w:cs="Calibri"/>
          <w:color w:val="000000"/>
        </w:rPr>
        <w:t>Osoba, ustalona jako nabywca nieruchomości zostanie zawiadomiona najpóźniej w ciągu 21 dni od dnia rozstrzygnięcia przetargu o miejscu i terminie zawarcia umowy sprzedaży.</w:t>
      </w:r>
    </w:p>
    <w:p w:rsidR="00CD3361" w:rsidRPr="003B0651" w:rsidRDefault="00CD3361" w:rsidP="00CD3361">
      <w:pPr>
        <w:numPr>
          <w:ilvl w:val="0"/>
          <w:numId w:val="2"/>
        </w:numPr>
        <w:jc w:val="both"/>
        <w:rPr>
          <w:rFonts w:asciiTheme="minorHAnsi" w:hAnsiTheme="minorHAnsi"/>
        </w:rPr>
      </w:pPr>
      <w:r>
        <w:rPr>
          <w:rFonts w:asciiTheme="minorHAnsi" w:hAnsiTheme="minorHAnsi" w:cs="Arial"/>
        </w:rPr>
        <w:t>Nieruchomość sprzedawana jest na podstawie danych z ewidencji gruntów i budynków. Nabywca na własny koszt zleca uprawnionym podmiotom odtworzenie granic nieruchomości</w:t>
      </w:r>
      <w:r>
        <w:rPr>
          <w:rFonts w:asciiTheme="minorHAnsi" w:hAnsiTheme="minorHAnsi"/>
        </w:rPr>
        <w:t>. Gmina nie ponosi odpowiedzialności za ewentualne różnice powstałe w wyniku wznowienia granic nabytej nieruchomości</w:t>
      </w:r>
      <w:r>
        <w:rPr>
          <w:rFonts w:asciiTheme="minorHAnsi" w:hAnsiTheme="minorHAnsi" w:cs="Arial"/>
        </w:rPr>
        <w:t>.</w:t>
      </w:r>
      <w:r>
        <w:rPr>
          <w:sz w:val="14"/>
          <w:szCs w:val="14"/>
        </w:rPr>
        <w:t>   </w:t>
      </w:r>
    </w:p>
    <w:p w:rsidR="003B0651" w:rsidRDefault="003B0651" w:rsidP="00CD3361">
      <w:pPr>
        <w:numPr>
          <w:ilvl w:val="0"/>
          <w:numId w:val="2"/>
        </w:numPr>
        <w:jc w:val="both"/>
        <w:rPr>
          <w:rFonts w:asciiTheme="minorHAnsi" w:hAnsiTheme="minorHAnsi"/>
        </w:rPr>
      </w:pPr>
      <w:r>
        <w:rPr>
          <w:rFonts w:ascii="Calibri" w:hAnsi="Calibri" w:cs="Calibri"/>
        </w:rPr>
        <w:t>Nabywca sprzedawanej nieruchomości, w przypadku wystąpienia w granicach nieruchomości drzewostanu kolidującego z inwestycją, dokona jego wycinki we własnym zakresie i na własny koszt, zgodnie z obowiązującymi przepisami ustawy z dnia 16 kwietnia 2004 r. o ochronie przyrody.</w:t>
      </w:r>
    </w:p>
    <w:p w:rsidR="00CD3361" w:rsidRDefault="00CD3361" w:rsidP="00CD3361">
      <w:pPr>
        <w:numPr>
          <w:ilvl w:val="0"/>
          <w:numId w:val="2"/>
        </w:numPr>
        <w:jc w:val="both"/>
        <w:rPr>
          <w:rFonts w:asciiTheme="minorHAnsi" w:hAnsiTheme="minorHAnsi"/>
        </w:rPr>
      </w:pPr>
      <w:r>
        <w:rPr>
          <w:sz w:val="14"/>
          <w:szCs w:val="14"/>
        </w:rPr>
        <w:t xml:space="preserve"> </w:t>
      </w:r>
      <w:r>
        <w:rPr>
          <w:rFonts w:ascii="Calibri" w:hAnsi="Calibri" w:cs="Arial"/>
        </w:rPr>
        <w:t>Wszelkie roszczenia z tytułu istnienia wad, w tym wad ukrytych i roszczenia z tytułu rękojmi zostają wyłączone, na co nabywca nieruchomości wyraża zgodę.</w:t>
      </w:r>
    </w:p>
    <w:p w:rsidR="00CD3361" w:rsidRDefault="00CD3361" w:rsidP="00CD3361">
      <w:pPr>
        <w:numPr>
          <w:ilvl w:val="0"/>
          <w:numId w:val="2"/>
        </w:numPr>
        <w:jc w:val="both"/>
        <w:rPr>
          <w:rFonts w:asciiTheme="minorHAnsi" w:hAnsiTheme="minorHAnsi"/>
        </w:rPr>
      </w:pPr>
      <w:r>
        <w:rPr>
          <w:sz w:val="14"/>
          <w:szCs w:val="14"/>
        </w:rPr>
        <w:t xml:space="preserve"> </w:t>
      </w:r>
      <w:r>
        <w:rPr>
          <w:rFonts w:ascii="Calibri" w:hAnsi="Calibri"/>
        </w:rPr>
        <w:t>Przed przystąpieniem do przetargu należy zapoznać się z dokumentacją dotyczącą nieruchomości.</w:t>
      </w:r>
      <w:r>
        <w:rPr>
          <w:rFonts w:asciiTheme="minorHAnsi" w:hAnsiTheme="minorHAnsi"/>
        </w:rPr>
        <w:t> </w:t>
      </w:r>
    </w:p>
    <w:p w:rsidR="00CD3361" w:rsidRDefault="00CD3361" w:rsidP="00CD3361">
      <w:pPr>
        <w:ind w:left="283"/>
        <w:jc w:val="both"/>
        <w:rPr>
          <w:rFonts w:asciiTheme="minorHAnsi" w:hAnsiTheme="minorHAnsi"/>
        </w:rPr>
      </w:pPr>
    </w:p>
    <w:p w:rsidR="00CD3361" w:rsidRDefault="003B0651" w:rsidP="00CD3361">
      <w:pPr>
        <w:jc w:val="both"/>
        <w:rPr>
          <w:rFonts w:asciiTheme="minorHAnsi" w:hAnsiTheme="minorHAnsi"/>
        </w:rPr>
      </w:pPr>
      <w:r>
        <w:rPr>
          <w:rFonts w:asciiTheme="minorHAnsi" w:hAnsiTheme="minorHAnsi"/>
        </w:rPr>
        <w:t xml:space="preserve">Informacje na temat zbywanej </w:t>
      </w:r>
      <w:r w:rsidR="00CD3361">
        <w:rPr>
          <w:rFonts w:asciiTheme="minorHAnsi" w:hAnsiTheme="minorHAnsi"/>
        </w:rPr>
        <w:t xml:space="preserve">nieruchomości można uzyskać </w:t>
      </w:r>
      <w:r w:rsidR="00862C74">
        <w:rPr>
          <w:rFonts w:asciiTheme="minorHAnsi" w:hAnsiTheme="minorHAnsi"/>
        </w:rPr>
        <w:t xml:space="preserve">osobiście </w:t>
      </w:r>
      <w:r w:rsidR="00CD3361">
        <w:rPr>
          <w:rFonts w:asciiTheme="minorHAnsi" w:hAnsiTheme="minorHAnsi"/>
        </w:rPr>
        <w:t>w Wydziale Gospodarki Gruntami Urzędu Miejskiego w Policach przy ul. Bankowej 18, pok. 210,  21</w:t>
      </w:r>
      <w:r w:rsidR="00862C74">
        <w:rPr>
          <w:rFonts w:asciiTheme="minorHAnsi" w:hAnsiTheme="minorHAnsi"/>
        </w:rPr>
        <w:t>6</w:t>
      </w:r>
      <w:r w:rsidR="00CD3361">
        <w:rPr>
          <w:rFonts w:asciiTheme="minorHAnsi" w:hAnsiTheme="minorHAnsi"/>
        </w:rPr>
        <w:t xml:space="preserve">, </w:t>
      </w:r>
      <w:r w:rsidR="00862C74">
        <w:rPr>
          <w:rFonts w:asciiTheme="minorHAnsi" w:hAnsiTheme="minorHAnsi"/>
        </w:rPr>
        <w:t xml:space="preserve">lub telefonicznie pod numerami:  91-43-118-90, </w:t>
      </w:r>
      <w:r w:rsidR="00CD3361">
        <w:rPr>
          <w:rFonts w:asciiTheme="minorHAnsi" w:hAnsiTheme="minorHAnsi"/>
        </w:rPr>
        <w:t>91-43-118-</w:t>
      </w:r>
      <w:r w:rsidR="00862C74">
        <w:rPr>
          <w:rFonts w:asciiTheme="minorHAnsi" w:hAnsiTheme="minorHAnsi"/>
        </w:rPr>
        <w:t>96</w:t>
      </w:r>
      <w:r w:rsidR="00CD3361">
        <w:rPr>
          <w:rFonts w:asciiTheme="minorHAnsi" w:hAnsiTheme="minorHAnsi"/>
        </w:rPr>
        <w:t>.</w:t>
      </w:r>
    </w:p>
    <w:p w:rsidR="00CD3361" w:rsidRDefault="00CD3361" w:rsidP="00CD3361"/>
    <w:p w:rsidR="00CD3361" w:rsidRDefault="00CD3361" w:rsidP="00CD3361">
      <w:pPr>
        <w:spacing w:before="100" w:beforeAutospacing="1" w:after="100" w:afterAutospacing="1"/>
      </w:pPr>
      <w:r>
        <w:rPr>
          <w:rFonts w:asciiTheme="minorHAnsi" w:hAnsiTheme="minorHAnsi" w:cs="Arial"/>
        </w:rPr>
        <w:t>Zastrzega się prawo odwołania przetargu</w:t>
      </w:r>
      <w:r w:rsidR="003B0651">
        <w:rPr>
          <w:rFonts w:asciiTheme="minorHAnsi" w:hAnsiTheme="minorHAnsi" w:cs="Arial"/>
        </w:rPr>
        <w:t>.</w:t>
      </w:r>
    </w:p>
    <w:p w:rsidR="00CD3361" w:rsidRDefault="00CD3361" w:rsidP="00CD3361">
      <w:pPr>
        <w:spacing w:before="100" w:beforeAutospacing="1" w:after="100" w:afterAutospacing="1"/>
        <w:rPr>
          <w:rFonts w:asciiTheme="minorHAnsi" w:hAnsiTheme="minorHAnsi" w:cstheme="minorHAnsi"/>
          <w:iCs/>
          <w:sz w:val="20"/>
          <w:szCs w:val="20"/>
        </w:rPr>
      </w:pPr>
      <w:r>
        <w:rPr>
          <w:rFonts w:asciiTheme="minorHAnsi" w:hAnsiTheme="minorHAnsi" w:cstheme="minorHAnsi"/>
          <w:iCs/>
          <w:sz w:val="20"/>
          <w:szCs w:val="20"/>
        </w:rPr>
        <w:t> </w:t>
      </w:r>
    </w:p>
    <w:p w:rsidR="00CD3361" w:rsidRDefault="00CD3361" w:rsidP="00CD3361">
      <w:pPr>
        <w:spacing w:before="100" w:beforeAutospacing="1" w:after="100" w:afterAutospacing="1"/>
      </w:pPr>
    </w:p>
    <w:p w:rsidR="00CD3361" w:rsidRPr="00472D3B" w:rsidRDefault="00CD3361" w:rsidP="00CD3361">
      <w:pPr>
        <w:spacing w:before="100" w:beforeAutospacing="1" w:after="100" w:afterAutospacing="1"/>
        <w:jc w:val="both"/>
      </w:pPr>
      <w:r>
        <w:rPr>
          <w:rFonts w:asciiTheme="minorHAnsi" w:hAnsiTheme="minorHAnsi" w:cstheme="minorHAnsi"/>
          <w:i/>
          <w:iCs/>
          <w:sz w:val="20"/>
          <w:szCs w:val="20"/>
        </w:rPr>
        <w:t xml:space="preserve">Udział w postępowaniu przetargowym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heme="minorHAnsi" w:hAnsiTheme="minorHAnsi" w:cstheme="minorHAnsi"/>
          <w:i/>
          <w:iCs/>
          <w:sz w:val="20"/>
          <w:szCs w:val="20"/>
        </w:rPr>
        <w:br/>
        <w:t>Dz. U. UE. L 119 z 4.5.2016, str. 1—88) oraz w zakresie wynikającym z ustawy z dnia 21 sierpnia 1997r. o gospodarce nieruchomościami</w:t>
      </w:r>
      <w:r w:rsidR="00472D3B">
        <w:rPr>
          <w:rFonts w:asciiTheme="minorHAnsi" w:hAnsiTheme="minorHAnsi" w:cstheme="minorHAnsi"/>
          <w:i/>
          <w:iCs/>
          <w:sz w:val="20"/>
          <w:szCs w:val="20"/>
        </w:rPr>
        <w:t xml:space="preserve"> </w:t>
      </w:r>
      <w:r w:rsidRPr="00472D3B">
        <w:rPr>
          <w:rFonts w:asciiTheme="minorHAnsi" w:hAnsiTheme="minorHAnsi" w:cstheme="minorHAnsi"/>
          <w:i/>
          <w:iCs/>
          <w:sz w:val="20"/>
          <w:szCs w:val="20"/>
        </w:rPr>
        <w:t>rozporządzenia Rady Ministrów z dnia 14 września 2004 r. w sprawie sposobu i trybu przeprowadzania przetargów oraz rokowań na zbycie nieruchomości</w:t>
      </w:r>
      <w:r w:rsidR="00862C74">
        <w:rPr>
          <w:rFonts w:asciiTheme="minorHAnsi" w:hAnsiTheme="minorHAnsi" w:cstheme="minorHAnsi"/>
          <w:i/>
          <w:iCs/>
          <w:sz w:val="20"/>
          <w:szCs w:val="20"/>
        </w:rPr>
        <w:t>.</w:t>
      </w:r>
      <w:r w:rsidRPr="00472D3B">
        <w:rPr>
          <w:rFonts w:asciiTheme="minorHAnsi" w:hAnsiTheme="minorHAnsi" w:cstheme="minorHAnsi"/>
          <w:i/>
          <w:iCs/>
          <w:sz w:val="20"/>
          <w:szCs w:val="20"/>
        </w:rPr>
        <w:t xml:space="preserve"> </w:t>
      </w:r>
    </w:p>
    <w:p w:rsidR="00CD3361" w:rsidRPr="00472D3B" w:rsidRDefault="00CD3361" w:rsidP="00CD3361">
      <w:pPr>
        <w:spacing w:before="100" w:beforeAutospacing="1" w:after="100" w:afterAutospacing="1"/>
        <w:jc w:val="both"/>
        <w:rPr>
          <w:rFonts w:asciiTheme="minorHAnsi" w:hAnsiTheme="minorHAnsi" w:cs="Arial"/>
        </w:rPr>
      </w:pPr>
      <w:r w:rsidRPr="00472D3B">
        <w:rPr>
          <w:rFonts w:asciiTheme="minorHAnsi" w:hAnsiTheme="minorHAnsi" w:cs="Arial"/>
        </w:rPr>
        <w:t> </w:t>
      </w:r>
    </w:p>
    <w:p w:rsidR="00CD3361" w:rsidRDefault="00CD3361" w:rsidP="00655799">
      <w:pPr>
        <w:pStyle w:val="Tytu"/>
        <w:jc w:val="left"/>
        <w:rPr>
          <w:rFonts w:asciiTheme="minorHAnsi" w:hAnsiTheme="minorHAnsi" w:cs="Arial"/>
          <w:sz w:val="24"/>
          <w:szCs w:val="24"/>
        </w:rPr>
      </w:pPr>
    </w:p>
    <w:p w:rsidR="003B0651" w:rsidRDefault="003B0651" w:rsidP="00655799">
      <w:pPr>
        <w:pStyle w:val="Tytu"/>
        <w:jc w:val="left"/>
        <w:rPr>
          <w:rFonts w:asciiTheme="minorHAnsi" w:hAnsiTheme="minorHAnsi" w:cs="Arial"/>
          <w:sz w:val="24"/>
          <w:szCs w:val="24"/>
        </w:rPr>
      </w:pPr>
    </w:p>
    <w:p w:rsidR="003B0651" w:rsidRDefault="003B0651" w:rsidP="00655799">
      <w:pPr>
        <w:pStyle w:val="Tytu"/>
        <w:jc w:val="left"/>
        <w:rPr>
          <w:rFonts w:asciiTheme="minorHAnsi" w:hAnsiTheme="minorHAnsi" w:cs="Arial"/>
          <w:sz w:val="24"/>
          <w:szCs w:val="24"/>
        </w:rPr>
      </w:pPr>
    </w:p>
    <w:p w:rsidR="003B0651" w:rsidRDefault="003B0651" w:rsidP="00655799">
      <w:pPr>
        <w:pStyle w:val="Tytu"/>
        <w:jc w:val="left"/>
        <w:rPr>
          <w:rFonts w:ascii="Arial" w:hAnsi="Arial" w:cs="Arial"/>
          <w:b/>
          <w:sz w:val="24"/>
        </w:rPr>
      </w:pPr>
    </w:p>
    <w:p w:rsidR="00CD3361" w:rsidRDefault="00CD3361" w:rsidP="00CD3361">
      <w:pPr>
        <w:jc w:val="center"/>
        <w:rPr>
          <w:rFonts w:asciiTheme="minorHAnsi" w:hAnsiTheme="minorHAnsi" w:cs="Arial"/>
          <w:sz w:val="32"/>
        </w:rPr>
      </w:pPr>
      <w:r>
        <w:rPr>
          <w:rFonts w:asciiTheme="minorHAnsi" w:hAnsiTheme="minorHAnsi"/>
        </w:rPr>
        <w:lastRenderedPageBreak/>
        <w:t>REGULAMIN</w:t>
      </w:r>
    </w:p>
    <w:p w:rsidR="00862C74" w:rsidRPr="00862C74" w:rsidRDefault="00E74D6B" w:rsidP="00CD3361">
      <w:pPr>
        <w:jc w:val="both"/>
        <w:rPr>
          <w:rFonts w:asciiTheme="minorHAnsi" w:hAnsiTheme="minorHAnsi" w:cstheme="minorHAnsi"/>
        </w:rPr>
      </w:pPr>
      <w:r>
        <w:rPr>
          <w:rFonts w:asciiTheme="minorHAnsi" w:hAnsiTheme="minorHAnsi" w:cstheme="minorHAnsi"/>
        </w:rPr>
        <w:t>p</w:t>
      </w:r>
      <w:r w:rsidR="00CD3361">
        <w:rPr>
          <w:rFonts w:asciiTheme="minorHAnsi" w:hAnsiTheme="minorHAnsi" w:cstheme="minorHAnsi"/>
        </w:rPr>
        <w:t xml:space="preserve">ierwszego przetargu ustnego nieograniczonego na </w:t>
      </w:r>
      <w:r w:rsidR="00CD3361">
        <w:rPr>
          <w:rFonts w:asciiTheme="minorHAnsi" w:hAnsiTheme="minorHAnsi" w:cstheme="minorHAnsi"/>
          <w:b/>
        </w:rPr>
        <w:t>sprzedaż</w:t>
      </w:r>
      <w:r w:rsidR="00CD3361">
        <w:rPr>
          <w:rFonts w:asciiTheme="minorHAnsi" w:hAnsiTheme="minorHAnsi" w:cstheme="minorHAnsi"/>
        </w:rPr>
        <w:t xml:space="preserve"> nieruchomości z obrębu </w:t>
      </w:r>
      <w:r w:rsidR="00862C74">
        <w:rPr>
          <w:rFonts w:asciiTheme="minorHAnsi" w:hAnsiTheme="minorHAnsi" w:cstheme="minorHAnsi"/>
        </w:rPr>
        <w:t>Tanowo,  składającej się z działek</w:t>
      </w:r>
      <w:r w:rsidR="003B0651">
        <w:rPr>
          <w:rFonts w:asciiTheme="minorHAnsi" w:hAnsiTheme="minorHAnsi" w:cstheme="minorHAnsi"/>
        </w:rPr>
        <w:t xml:space="preserve"> oznaczonych numerami 297/14, 29</w:t>
      </w:r>
      <w:r w:rsidR="00862C74">
        <w:rPr>
          <w:rFonts w:asciiTheme="minorHAnsi" w:hAnsiTheme="minorHAnsi" w:cstheme="minorHAnsi"/>
        </w:rPr>
        <w:t>7/31 o łącznej powierzchni 728 m</w:t>
      </w:r>
      <w:r w:rsidR="00862C74">
        <w:rPr>
          <w:rFonts w:asciiTheme="minorHAnsi" w:hAnsiTheme="minorHAnsi" w:cstheme="minorHAnsi"/>
          <w:vertAlign w:val="superscript"/>
        </w:rPr>
        <w:t xml:space="preserve">2 </w:t>
      </w:r>
      <w:r w:rsidR="00862C74">
        <w:rPr>
          <w:rFonts w:asciiTheme="minorHAnsi" w:hAnsiTheme="minorHAnsi" w:cstheme="minorHAnsi"/>
        </w:rPr>
        <w:t>.</w:t>
      </w:r>
    </w:p>
    <w:p w:rsidR="00CD3361" w:rsidRDefault="00CD3361" w:rsidP="00CD3361">
      <w:pPr>
        <w:jc w:val="both"/>
        <w:rPr>
          <w:rFonts w:asciiTheme="minorHAnsi" w:hAnsiTheme="minorHAnsi" w:cstheme="minorHAnsi"/>
        </w:rPr>
      </w:pPr>
    </w:p>
    <w:p w:rsidR="00CD3361" w:rsidRDefault="00CD3361" w:rsidP="00CD3361">
      <w:pPr>
        <w:pStyle w:val="Akapitzlist"/>
        <w:numPr>
          <w:ilvl w:val="0"/>
          <w:numId w:val="3"/>
        </w:numPr>
        <w:jc w:val="both"/>
        <w:rPr>
          <w:rFonts w:asciiTheme="minorHAnsi" w:hAnsiTheme="minorHAnsi" w:cs="Arial"/>
        </w:rPr>
      </w:pPr>
      <w:r>
        <w:rPr>
          <w:rFonts w:asciiTheme="minorHAnsi" w:hAnsiTheme="minorHAnsi" w:cs="Arial"/>
        </w:rPr>
        <w:t>Wyciąg z ogłoszenia o przetargu ukaże się  w  dzienniku Gazeta Wyborcza, ogłoszenie zostanie umieszczone na tablicy ogłoszeń w Urzędzie Miejskim w Policach przy ul. Stefana Batorego 3 i ul. Bankowej 18, na stronach internetowych Gminy Police (</w:t>
      </w:r>
      <w:hyperlink r:id="rId8" w:history="1">
        <w:r>
          <w:rPr>
            <w:rStyle w:val="Hipercze"/>
            <w:rFonts w:asciiTheme="minorHAnsi" w:hAnsiTheme="minorHAnsi"/>
          </w:rPr>
          <w:t>www.police.pl</w:t>
        </w:r>
      </w:hyperlink>
      <w:r>
        <w:rPr>
          <w:rFonts w:asciiTheme="minorHAnsi" w:hAnsiTheme="minorHAnsi"/>
        </w:rPr>
        <w:t xml:space="preserve">), oraz </w:t>
      </w:r>
      <w:r>
        <w:rPr>
          <w:rFonts w:asciiTheme="minorHAnsi" w:hAnsiTheme="minorHAnsi" w:cs="Arial"/>
        </w:rPr>
        <w:t xml:space="preserve">Biuletynie Informacji Publicznej. </w:t>
      </w:r>
      <w:bookmarkStart w:id="1" w:name="_GoBack"/>
      <w:bookmarkEnd w:id="1"/>
    </w:p>
    <w:p w:rsidR="00CD3361" w:rsidRDefault="00CD3361" w:rsidP="00CD3361">
      <w:pPr>
        <w:numPr>
          <w:ilvl w:val="0"/>
          <w:numId w:val="3"/>
        </w:numPr>
        <w:spacing w:after="120"/>
        <w:jc w:val="both"/>
        <w:rPr>
          <w:rFonts w:asciiTheme="minorHAnsi" w:hAnsiTheme="minorHAnsi" w:cs="Arial"/>
        </w:rPr>
      </w:pPr>
      <w:r>
        <w:rPr>
          <w:rFonts w:asciiTheme="minorHAnsi" w:hAnsiTheme="minorHAnsi" w:cs="Arial"/>
        </w:rPr>
        <w:t xml:space="preserve">W przetargu może uczestniczyć każdy, kto wpłaci </w:t>
      </w:r>
      <w:r>
        <w:rPr>
          <w:rFonts w:asciiTheme="minorHAnsi" w:hAnsiTheme="minorHAnsi" w:cs="Arial"/>
          <w:bCs/>
        </w:rPr>
        <w:t xml:space="preserve">wadium w wysokości  podanej </w:t>
      </w:r>
      <w:r>
        <w:rPr>
          <w:rFonts w:asciiTheme="minorHAnsi" w:hAnsiTheme="minorHAnsi" w:cs="Arial"/>
          <w:bCs/>
        </w:rPr>
        <w:br/>
        <w:t>w ogłoszeniu</w:t>
      </w:r>
      <w:r>
        <w:rPr>
          <w:rFonts w:asciiTheme="minorHAnsi" w:hAnsiTheme="minorHAnsi"/>
          <w:bCs/>
        </w:rPr>
        <w:t>.</w:t>
      </w:r>
      <w:r>
        <w:rPr>
          <w:rFonts w:asciiTheme="minorHAnsi" w:hAnsiTheme="minorHAnsi" w:cs="Arial"/>
        </w:rPr>
        <w:t xml:space="preserve"> </w:t>
      </w:r>
    </w:p>
    <w:p w:rsidR="00CD3361" w:rsidRDefault="00CD3361" w:rsidP="00CD3361">
      <w:pPr>
        <w:numPr>
          <w:ilvl w:val="0"/>
          <w:numId w:val="3"/>
        </w:numPr>
        <w:spacing w:after="120"/>
        <w:jc w:val="both"/>
        <w:rPr>
          <w:rFonts w:asciiTheme="minorHAnsi" w:hAnsiTheme="minorHAnsi" w:cs="Arial"/>
        </w:rPr>
      </w:pPr>
      <w:r>
        <w:rPr>
          <w:rFonts w:asciiTheme="minorHAnsi" w:hAnsiTheme="minorHAnsi" w:cs="Arial"/>
        </w:rPr>
        <w:t>Wadium w pieniądzu w wysokości podanej w ogłoszeniu o przetargu należy wpłacić</w:t>
      </w:r>
      <w:r>
        <w:rPr>
          <w:rFonts w:asciiTheme="minorHAnsi" w:hAnsiTheme="minorHAnsi" w:cs="Arial"/>
          <w:b/>
        </w:rPr>
        <w:t xml:space="preserve"> </w:t>
      </w:r>
      <w:r>
        <w:rPr>
          <w:rFonts w:asciiTheme="minorHAnsi" w:hAnsiTheme="minorHAnsi" w:cs="Arial"/>
        </w:rPr>
        <w:t xml:space="preserve">przelewem na rachunek  Gminy Police </w:t>
      </w:r>
      <w:r>
        <w:rPr>
          <w:rFonts w:asciiTheme="minorHAnsi" w:hAnsiTheme="minorHAnsi"/>
        </w:rPr>
        <w:t>prowadzony w  II Oddziale Banku Pekao SA.</w:t>
      </w:r>
      <w:r>
        <w:rPr>
          <w:rFonts w:asciiTheme="minorHAnsi" w:hAnsiTheme="minorHAnsi" w:cs="Arial"/>
        </w:rPr>
        <w:t xml:space="preserve"> </w:t>
      </w:r>
      <w:r>
        <w:rPr>
          <w:rFonts w:asciiTheme="minorHAnsi" w:hAnsiTheme="minorHAnsi" w:cs="Arial"/>
        </w:rPr>
        <w:br/>
        <w:t>n</w:t>
      </w:r>
      <w:r>
        <w:rPr>
          <w:rFonts w:asciiTheme="minorHAnsi" w:hAnsiTheme="minorHAnsi"/>
        </w:rPr>
        <w:t xml:space="preserve">umer: 15 1240 3927 1111 0010 6013 0076 </w:t>
      </w:r>
      <w:r>
        <w:rPr>
          <w:rFonts w:asciiTheme="minorHAnsi" w:hAnsiTheme="minorHAnsi" w:cs="Arial"/>
          <w:b/>
        </w:rPr>
        <w:t xml:space="preserve">najpóźniej do </w:t>
      </w:r>
      <w:r w:rsidR="00045051">
        <w:rPr>
          <w:rFonts w:asciiTheme="minorHAnsi" w:hAnsiTheme="minorHAnsi" w:cs="Arial"/>
          <w:b/>
        </w:rPr>
        <w:t>18 lipca</w:t>
      </w:r>
      <w:r>
        <w:rPr>
          <w:rFonts w:asciiTheme="minorHAnsi" w:hAnsiTheme="minorHAnsi" w:cs="Arial"/>
          <w:b/>
        </w:rPr>
        <w:t xml:space="preserve"> 202</w:t>
      </w:r>
      <w:r w:rsidR="00862C74">
        <w:rPr>
          <w:rFonts w:asciiTheme="minorHAnsi" w:hAnsiTheme="minorHAnsi" w:cs="Arial"/>
          <w:b/>
        </w:rPr>
        <w:t>4</w:t>
      </w:r>
      <w:r>
        <w:rPr>
          <w:rFonts w:asciiTheme="minorHAnsi" w:hAnsiTheme="minorHAnsi" w:cs="Arial"/>
          <w:b/>
        </w:rPr>
        <w:t xml:space="preserve">r. </w:t>
      </w:r>
      <w:r>
        <w:rPr>
          <w:rFonts w:asciiTheme="minorHAnsi" w:hAnsiTheme="minorHAnsi"/>
          <w:b/>
          <w:bCs/>
        </w:rPr>
        <w:t xml:space="preserve">Za datę wniesienia wadium uważa się datę wpływu środków pieniężnych na rachunek Gminy Police. Przy dokonaniu wpłaty wadium należy podać  oznaczenie nieruchomości </w:t>
      </w:r>
      <w:r>
        <w:rPr>
          <w:rFonts w:asciiTheme="minorHAnsi" w:hAnsiTheme="minorHAnsi"/>
          <w:b/>
          <w:bCs/>
        </w:rPr>
        <w:br/>
        <w:t>(nr działki), której dotyczy wpłacane wadium oraz imię i nazwisko</w:t>
      </w:r>
      <w:r>
        <w:rPr>
          <w:rFonts w:asciiTheme="minorHAnsi" w:hAnsiTheme="minorHAnsi"/>
          <w:b/>
        </w:rPr>
        <w:t xml:space="preserve"> uczestnika przetargu.</w:t>
      </w:r>
    </w:p>
    <w:p w:rsidR="00CD3361" w:rsidRDefault="00CD3361" w:rsidP="00CD3361">
      <w:pPr>
        <w:numPr>
          <w:ilvl w:val="0"/>
          <w:numId w:val="3"/>
        </w:numPr>
        <w:spacing w:after="120"/>
        <w:jc w:val="both"/>
        <w:rPr>
          <w:rFonts w:asciiTheme="minorHAnsi" w:hAnsiTheme="minorHAnsi" w:cs="Arial"/>
        </w:rPr>
      </w:pPr>
      <w:r>
        <w:rPr>
          <w:rFonts w:asciiTheme="minorHAnsi" w:hAnsiTheme="minorHAnsi" w:cs="Arial"/>
        </w:rPr>
        <w:t>W przetargu mogą uczestniczyć cudzoziemcy. Cudzoziemcy będący obywatelami  lub przedsiębiorcami państw spoza Europejskiego Obszaru Gospodarczego przy zawarciu aktu notarialnego muszą okazać się zgodą Ministra Spraw Wewnętrznych i Administracji na nabycie nieruchomości.</w:t>
      </w:r>
    </w:p>
    <w:p w:rsidR="00CD3361" w:rsidRDefault="00CD3361" w:rsidP="00CD3361">
      <w:pPr>
        <w:numPr>
          <w:ilvl w:val="0"/>
          <w:numId w:val="3"/>
        </w:numPr>
        <w:spacing w:after="120"/>
        <w:jc w:val="both"/>
        <w:rPr>
          <w:rFonts w:asciiTheme="minorHAnsi" w:hAnsiTheme="minorHAnsi" w:cs="Arial"/>
        </w:rPr>
      </w:pPr>
      <w:r>
        <w:rPr>
          <w:rFonts w:asciiTheme="minorHAnsi" w:hAnsiTheme="minorHAnsi" w:cs="Arial"/>
        </w:rPr>
        <w:t>Wadium wpłacone przez osobę, która przetarg wygrała zostaje zaliczone na poczet ceny nabycia. Pozostałe osoby otrzymują zwrot wpłaconych kwot. Wadium zostanie zwrócone niezwłocznie po odwołaniu lub zamknięciu przetargu, jednak nie później niż przed upływem trzech dni od dnia odwołania, zamknięcia, unieważnienia lub zakończenia  przetargu wynikiem negatywnym.</w:t>
      </w:r>
    </w:p>
    <w:p w:rsidR="00CD3361" w:rsidRDefault="00CD3361" w:rsidP="00CD3361">
      <w:pPr>
        <w:numPr>
          <w:ilvl w:val="0"/>
          <w:numId w:val="3"/>
        </w:numPr>
        <w:spacing w:after="120"/>
        <w:jc w:val="both"/>
        <w:rPr>
          <w:rFonts w:asciiTheme="minorHAnsi" w:hAnsiTheme="minorHAnsi" w:cs="Arial"/>
        </w:rPr>
      </w:pPr>
      <w:r>
        <w:rPr>
          <w:rFonts w:asciiTheme="minorHAnsi" w:hAnsiTheme="minorHAnsi" w:cs="Arial"/>
        </w:rPr>
        <w:t>Koszty zawarcia umowy notarialnej ponosi nabywca nieruchomości.</w:t>
      </w:r>
    </w:p>
    <w:p w:rsidR="00CD3361" w:rsidRDefault="00CD3361" w:rsidP="00CD3361">
      <w:pPr>
        <w:numPr>
          <w:ilvl w:val="0"/>
          <w:numId w:val="3"/>
        </w:numPr>
        <w:spacing w:after="120"/>
        <w:jc w:val="both"/>
        <w:rPr>
          <w:rFonts w:asciiTheme="minorHAnsi" w:hAnsiTheme="minorHAnsi" w:cs="Arial"/>
          <w:b/>
        </w:rPr>
      </w:pPr>
      <w:r>
        <w:rPr>
          <w:rFonts w:asciiTheme="minorHAnsi" w:hAnsiTheme="minorHAnsi" w:cs="Arial"/>
        </w:rPr>
        <w:t xml:space="preserve">Przetarg jest ważny bez względu na liczbę uczestników, jeżeli przynajmniej  jeden uczestnik zaoferował co najmniej jedno postąpienie powyżej ceny wywoławczej. </w:t>
      </w:r>
      <w:r>
        <w:rPr>
          <w:rFonts w:asciiTheme="minorHAnsi" w:hAnsiTheme="minorHAnsi" w:cs="Arial"/>
          <w:b/>
        </w:rPr>
        <w:t>Min</w:t>
      </w:r>
      <w:r w:rsidR="009F29FC">
        <w:rPr>
          <w:rFonts w:asciiTheme="minorHAnsi" w:hAnsiTheme="minorHAnsi" w:cs="Arial"/>
          <w:b/>
        </w:rPr>
        <w:t xml:space="preserve">imalna wysokość postąpienia </w:t>
      </w:r>
      <w:r>
        <w:rPr>
          <w:rFonts w:asciiTheme="minorHAnsi" w:hAnsiTheme="minorHAnsi" w:cs="Arial"/>
          <w:b/>
        </w:rPr>
        <w:t xml:space="preserve"> wynosi 1000,00 zł.</w:t>
      </w:r>
    </w:p>
    <w:p w:rsidR="00CD3361" w:rsidRDefault="00CD3361" w:rsidP="00CD3361">
      <w:pPr>
        <w:numPr>
          <w:ilvl w:val="0"/>
          <w:numId w:val="3"/>
        </w:numPr>
        <w:spacing w:after="120"/>
        <w:jc w:val="both"/>
        <w:rPr>
          <w:rFonts w:asciiTheme="minorHAnsi" w:hAnsiTheme="minorHAnsi" w:cs="Arial"/>
        </w:rPr>
      </w:pPr>
      <w:r>
        <w:rPr>
          <w:rFonts w:asciiTheme="minorHAnsi" w:hAnsiTheme="minorHAnsi" w:cs="Arial"/>
        </w:rPr>
        <w:t>Przetarg przeprowadza Komisja Przetargowa powołana przez Burmistrza Polic.</w:t>
      </w:r>
    </w:p>
    <w:p w:rsidR="00CD3361" w:rsidRDefault="00CD3361" w:rsidP="00CD3361">
      <w:pPr>
        <w:numPr>
          <w:ilvl w:val="0"/>
          <w:numId w:val="3"/>
        </w:numPr>
        <w:spacing w:after="120"/>
        <w:jc w:val="both"/>
        <w:rPr>
          <w:rFonts w:asciiTheme="minorHAnsi" w:hAnsiTheme="minorHAnsi" w:cs="Arial"/>
        </w:rPr>
      </w:pPr>
      <w:r>
        <w:rPr>
          <w:rFonts w:asciiTheme="minorHAnsi" w:hAnsiTheme="minorHAnsi" w:cs="Arial"/>
        </w:rPr>
        <w:t>Z przeprowadzonego przetargu zostanie sporządzony protokół, który będzie stanowił podstawę do zawarcia umowy sprzedaży.</w:t>
      </w:r>
    </w:p>
    <w:p w:rsidR="00CD3361" w:rsidRDefault="00CD3361" w:rsidP="00CD3361">
      <w:pPr>
        <w:numPr>
          <w:ilvl w:val="0"/>
          <w:numId w:val="3"/>
        </w:numPr>
        <w:jc w:val="both"/>
        <w:rPr>
          <w:rFonts w:asciiTheme="minorHAnsi" w:hAnsiTheme="minorHAnsi" w:cs="Arial"/>
        </w:rPr>
      </w:pPr>
      <w:r>
        <w:rPr>
          <w:rFonts w:asciiTheme="minorHAnsi" w:hAnsiTheme="minorHAnsi" w:cs="Arial"/>
        </w:rPr>
        <w:t>Przy ustnym przetargu stosuje się przepisy wynikające z Rozporządzenia Rady Ministrów z dnia 14 września 2004 r. w sprawie sposobu  i trybu  przeprowadzania przetargów oraz rokowań na zbycie nieruchomości (Dz. U. z 20</w:t>
      </w:r>
      <w:r w:rsidR="00700ACA">
        <w:rPr>
          <w:rFonts w:asciiTheme="minorHAnsi" w:hAnsiTheme="minorHAnsi" w:cs="Arial"/>
        </w:rPr>
        <w:t>21</w:t>
      </w:r>
      <w:r>
        <w:rPr>
          <w:rFonts w:asciiTheme="minorHAnsi" w:hAnsiTheme="minorHAnsi" w:cs="Arial"/>
        </w:rPr>
        <w:t xml:space="preserve"> r. poz.</w:t>
      </w:r>
      <w:r w:rsidR="00700ACA">
        <w:rPr>
          <w:rFonts w:asciiTheme="minorHAnsi" w:hAnsiTheme="minorHAnsi" w:cs="Arial"/>
        </w:rPr>
        <w:t xml:space="preserve">2213 </w:t>
      </w:r>
      <w:r>
        <w:rPr>
          <w:rFonts w:asciiTheme="minorHAnsi" w:hAnsiTheme="minorHAnsi" w:cs="Arial"/>
        </w:rPr>
        <w:t>ze zm.).</w:t>
      </w:r>
    </w:p>
    <w:p w:rsidR="00CD3361" w:rsidRDefault="00CD3361" w:rsidP="00CD3361">
      <w:pPr>
        <w:jc w:val="both"/>
        <w:rPr>
          <w:rFonts w:asciiTheme="minorHAnsi" w:hAnsiTheme="minorHAnsi" w:cs="Arial"/>
        </w:rPr>
      </w:pPr>
    </w:p>
    <w:p w:rsidR="00CD3361" w:rsidRDefault="00CD3361" w:rsidP="00CD3361"/>
    <w:p w:rsidR="00CD3361" w:rsidRDefault="00CD3361" w:rsidP="00CD3361"/>
    <w:p w:rsidR="00CD3361" w:rsidRDefault="00CD3361" w:rsidP="00CD3361"/>
    <w:p w:rsidR="00CD3361" w:rsidRDefault="00CD3361" w:rsidP="00CD3361"/>
    <w:p w:rsidR="001750D9" w:rsidRDefault="001750D9"/>
    <w:sectPr w:rsidR="001750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A6" w:rsidRDefault="000C7DA6" w:rsidP="00E5678E">
      <w:r>
        <w:separator/>
      </w:r>
    </w:p>
  </w:endnote>
  <w:endnote w:type="continuationSeparator" w:id="0">
    <w:p w:rsidR="000C7DA6" w:rsidRDefault="000C7DA6" w:rsidP="00E5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A6" w:rsidRDefault="000C7DA6" w:rsidP="00E5678E">
      <w:r>
        <w:separator/>
      </w:r>
    </w:p>
  </w:footnote>
  <w:footnote w:type="continuationSeparator" w:id="0">
    <w:p w:rsidR="000C7DA6" w:rsidRDefault="000C7DA6" w:rsidP="00E56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04B3D"/>
    <w:multiLevelType w:val="singleLevel"/>
    <w:tmpl w:val="262478B2"/>
    <w:lvl w:ilvl="0">
      <w:start w:val="1"/>
      <w:numFmt w:val="decimal"/>
      <w:lvlText w:val="%1."/>
      <w:legacy w:legacy="1" w:legacySpace="0" w:legacyIndent="283"/>
      <w:lvlJc w:val="left"/>
      <w:pPr>
        <w:ind w:left="283" w:hanging="283"/>
      </w:pPr>
      <w:rPr>
        <w:rFonts w:cs="Times New Roman"/>
      </w:rPr>
    </w:lvl>
  </w:abstractNum>
  <w:abstractNum w:abstractNumId="1">
    <w:nsid w:val="5E6E63C6"/>
    <w:multiLevelType w:val="hybridMultilevel"/>
    <w:tmpl w:val="B518FD4C"/>
    <w:lvl w:ilvl="0" w:tplc="1D268E1E">
      <w:start w:val="1"/>
      <w:numFmt w:val="decimal"/>
      <w:lvlText w:val="%1."/>
      <w:legacy w:legacy="1" w:legacySpace="0" w:legacyIndent="283"/>
      <w:lvlJc w:val="left"/>
      <w:pPr>
        <w:ind w:left="283" w:hanging="283"/>
      </w:pPr>
      <w:rPr>
        <w:rFonts w:cs="Times New Roman"/>
      </w:rPr>
    </w:lvl>
    <w:lvl w:ilvl="1" w:tplc="02F6DF24">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69756BF0"/>
    <w:multiLevelType w:val="singleLevel"/>
    <w:tmpl w:val="28F23692"/>
    <w:lvl w:ilvl="0">
      <w:start w:val="1"/>
      <w:numFmt w:val="decimal"/>
      <w:lvlText w:val="%1."/>
      <w:legacy w:legacy="1" w:legacySpace="0" w:legacyIndent="283"/>
      <w:lvlJc w:val="left"/>
      <w:pPr>
        <w:ind w:left="283" w:hanging="283"/>
      </w:pPr>
      <w:rPr>
        <w:rFonts w:cs="Times New Roman"/>
      </w:r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B0"/>
    <w:rsid w:val="00045051"/>
    <w:rsid w:val="000C7DA6"/>
    <w:rsid w:val="001750D9"/>
    <w:rsid w:val="003B0651"/>
    <w:rsid w:val="0046602C"/>
    <w:rsid w:val="00472D3B"/>
    <w:rsid w:val="004D5EB0"/>
    <w:rsid w:val="00623E00"/>
    <w:rsid w:val="00655799"/>
    <w:rsid w:val="00700ACA"/>
    <w:rsid w:val="007666A4"/>
    <w:rsid w:val="00862C74"/>
    <w:rsid w:val="009B1CBE"/>
    <w:rsid w:val="009F29FC"/>
    <w:rsid w:val="00B60A04"/>
    <w:rsid w:val="00BD597E"/>
    <w:rsid w:val="00CD3361"/>
    <w:rsid w:val="00E5678E"/>
    <w:rsid w:val="00E74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3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CD3361"/>
    <w:rPr>
      <w:rFonts w:ascii="Times New Roman" w:hAnsi="Times New Roman" w:cs="Times New Roman" w:hint="default"/>
      <w:color w:val="0000FF"/>
      <w:u w:val="single"/>
    </w:rPr>
  </w:style>
  <w:style w:type="paragraph" w:styleId="Tytu">
    <w:name w:val="Title"/>
    <w:basedOn w:val="Normalny"/>
    <w:link w:val="TytuZnak"/>
    <w:qFormat/>
    <w:rsid w:val="00CD3361"/>
    <w:pPr>
      <w:overflowPunct w:val="0"/>
      <w:autoSpaceDE w:val="0"/>
      <w:autoSpaceDN w:val="0"/>
      <w:adjustRightInd w:val="0"/>
      <w:jc w:val="center"/>
    </w:pPr>
    <w:rPr>
      <w:sz w:val="28"/>
      <w:szCs w:val="20"/>
    </w:rPr>
  </w:style>
  <w:style w:type="character" w:customStyle="1" w:styleId="TytuZnak">
    <w:name w:val="Tytuł Znak"/>
    <w:basedOn w:val="Domylnaczcionkaakapitu"/>
    <w:link w:val="Tytu"/>
    <w:rsid w:val="00CD3361"/>
    <w:rPr>
      <w:rFonts w:ascii="Times New Roman" w:eastAsia="Times New Roman" w:hAnsi="Times New Roman" w:cs="Times New Roman"/>
      <w:sz w:val="28"/>
      <w:szCs w:val="20"/>
      <w:lang w:eastAsia="pl-PL"/>
    </w:rPr>
  </w:style>
  <w:style w:type="paragraph" w:styleId="Tekstpodstawowy">
    <w:name w:val="Body Text"/>
    <w:basedOn w:val="Normalny"/>
    <w:link w:val="TekstpodstawowyZnak"/>
    <w:unhideWhenUsed/>
    <w:rsid w:val="00CD3361"/>
    <w:pPr>
      <w:spacing w:line="360" w:lineRule="auto"/>
      <w:jc w:val="both"/>
    </w:pPr>
  </w:style>
  <w:style w:type="character" w:customStyle="1" w:styleId="TekstpodstawowyZnak">
    <w:name w:val="Tekst podstawowy Znak"/>
    <w:basedOn w:val="Domylnaczcionkaakapitu"/>
    <w:link w:val="Tekstpodstawowy"/>
    <w:rsid w:val="00CD336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361"/>
    <w:pPr>
      <w:ind w:left="720"/>
      <w:contextualSpacing/>
    </w:pPr>
    <w:rPr>
      <w:rFonts w:eastAsia="Calibri"/>
    </w:rPr>
  </w:style>
  <w:style w:type="table" w:styleId="Tabela-Siatka">
    <w:name w:val="Table Grid"/>
    <w:basedOn w:val="Standardowy"/>
    <w:uiPriority w:val="59"/>
    <w:rsid w:val="00CD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5678E"/>
    <w:rPr>
      <w:rFonts w:ascii="Tahoma" w:hAnsi="Tahoma" w:cs="Tahoma"/>
      <w:sz w:val="16"/>
      <w:szCs w:val="16"/>
    </w:rPr>
  </w:style>
  <w:style w:type="character" w:customStyle="1" w:styleId="TekstdymkaZnak">
    <w:name w:val="Tekst dymka Znak"/>
    <w:basedOn w:val="Domylnaczcionkaakapitu"/>
    <w:link w:val="Tekstdymka"/>
    <w:uiPriority w:val="99"/>
    <w:semiHidden/>
    <w:rsid w:val="00E5678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5678E"/>
    <w:rPr>
      <w:sz w:val="20"/>
      <w:szCs w:val="20"/>
    </w:rPr>
  </w:style>
  <w:style w:type="character" w:customStyle="1" w:styleId="TekstprzypisukocowegoZnak">
    <w:name w:val="Tekst przypisu końcowego Znak"/>
    <w:basedOn w:val="Domylnaczcionkaakapitu"/>
    <w:link w:val="Tekstprzypisukocowego"/>
    <w:uiPriority w:val="99"/>
    <w:semiHidden/>
    <w:rsid w:val="00E567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56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3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CD3361"/>
    <w:rPr>
      <w:rFonts w:ascii="Times New Roman" w:hAnsi="Times New Roman" w:cs="Times New Roman" w:hint="default"/>
      <w:color w:val="0000FF"/>
      <w:u w:val="single"/>
    </w:rPr>
  </w:style>
  <w:style w:type="paragraph" w:styleId="Tytu">
    <w:name w:val="Title"/>
    <w:basedOn w:val="Normalny"/>
    <w:link w:val="TytuZnak"/>
    <w:qFormat/>
    <w:rsid w:val="00CD3361"/>
    <w:pPr>
      <w:overflowPunct w:val="0"/>
      <w:autoSpaceDE w:val="0"/>
      <w:autoSpaceDN w:val="0"/>
      <w:adjustRightInd w:val="0"/>
      <w:jc w:val="center"/>
    </w:pPr>
    <w:rPr>
      <w:sz w:val="28"/>
      <w:szCs w:val="20"/>
    </w:rPr>
  </w:style>
  <w:style w:type="character" w:customStyle="1" w:styleId="TytuZnak">
    <w:name w:val="Tytuł Znak"/>
    <w:basedOn w:val="Domylnaczcionkaakapitu"/>
    <w:link w:val="Tytu"/>
    <w:rsid w:val="00CD3361"/>
    <w:rPr>
      <w:rFonts w:ascii="Times New Roman" w:eastAsia="Times New Roman" w:hAnsi="Times New Roman" w:cs="Times New Roman"/>
      <w:sz w:val="28"/>
      <w:szCs w:val="20"/>
      <w:lang w:eastAsia="pl-PL"/>
    </w:rPr>
  </w:style>
  <w:style w:type="paragraph" w:styleId="Tekstpodstawowy">
    <w:name w:val="Body Text"/>
    <w:basedOn w:val="Normalny"/>
    <w:link w:val="TekstpodstawowyZnak"/>
    <w:unhideWhenUsed/>
    <w:rsid w:val="00CD3361"/>
    <w:pPr>
      <w:spacing w:line="360" w:lineRule="auto"/>
      <w:jc w:val="both"/>
    </w:pPr>
  </w:style>
  <w:style w:type="character" w:customStyle="1" w:styleId="TekstpodstawowyZnak">
    <w:name w:val="Tekst podstawowy Znak"/>
    <w:basedOn w:val="Domylnaczcionkaakapitu"/>
    <w:link w:val="Tekstpodstawowy"/>
    <w:rsid w:val="00CD336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361"/>
    <w:pPr>
      <w:ind w:left="720"/>
      <w:contextualSpacing/>
    </w:pPr>
    <w:rPr>
      <w:rFonts w:eastAsia="Calibri"/>
    </w:rPr>
  </w:style>
  <w:style w:type="table" w:styleId="Tabela-Siatka">
    <w:name w:val="Table Grid"/>
    <w:basedOn w:val="Standardowy"/>
    <w:uiPriority w:val="59"/>
    <w:rsid w:val="00CD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5678E"/>
    <w:rPr>
      <w:rFonts w:ascii="Tahoma" w:hAnsi="Tahoma" w:cs="Tahoma"/>
      <w:sz w:val="16"/>
      <w:szCs w:val="16"/>
    </w:rPr>
  </w:style>
  <w:style w:type="character" w:customStyle="1" w:styleId="TekstdymkaZnak">
    <w:name w:val="Tekst dymka Znak"/>
    <w:basedOn w:val="Domylnaczcionkaakapitu"/>
    <w:link w:val="Tekstdymka"/>
    <w:uiPriority w:val="99"/>
    <w:semiHidden/>
    <w:rsid w:val="00E5678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5678E"/>
    <w:rPr>
      <w:sz w:val="20"/>
      <w:szCs w:val="20"/>
    </w:rPr>
  </w:style>
  <w:style w:type="character" w:customStyle="1" w:styleId="TekstprzypisukocowegoZnak">
    <w:name w:val="Tekst przypisu końcowego Znak"/>
    <w:basedOn w:val="Domylnaczcionkaakapitu"/>
    <w:link w:val="Tekstprzypisukocowego"/>
    <w:uiPriority w:val="99"/>
    <w:semiHidden/>
    <w:rsid w:val="00E567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5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1532</Words>
  <Characters>9196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Liput</dc:creator>
  <cp:keywords/>
  <dc:description/>
  <cp:lastModifiedBy>Anna Liput</cp:lastModifiedBy>
  <cp:revision>10</cp:revision>
  <cp:lastPrinted>2024-06-05T09:15:00Z</cp:lastPrinted>
  <dcterms:created xsi:type="dcterms:W3CDTF">2024-04-08T07:38:00Z</dcterms:created>
  <dcterms:modified xsi:type="dcterms:W3CDTF">2024-06-05T10:12:00Z</dcterms:modified>
</cp:coreProperties>
</file>