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EB" w:rsidRDefault="003C55EB" w:rsidP="003C55EB">
      <w:pPr>
        <w:tabs>
          <w:tab w:val="left" w:pos="6096"/>
        </w:tabs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ZARZĄDZENIE  Nr 119/2019</w:t>
      </w:r>
    </w:p>
    <w:p w:rsidR="003C55EB" w:rsidRDefault="003C55EB" w:rsidP="003C55EB">
      <w:pPr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Burmistrza Polic</w:t>
      </w:r>
    </w:p>
    <w:p w:rsidR="003C55EB" w:rsidRDefault="003C55EB" w:rsidP="003C55EB">
      <w:pPr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z dnia 10 kwietnia 2019 r.</w:t>
      </w:r>
    </w:p>
    <w:p w:rsidR="003C55EB" w:rsidRDefault="003C55EB" w:rsidP="003C55EB">
      <w:pPr>
        <w:rPr>
          <w:rFonts w:ascii="Calibri" w:hAnsi="Calibri" w:cs="Arial"/>
          <w:b/>
          <w:bCs/>
        </w:rPr>
      </w:pPr>
    </w:p>
    <w:p w:rsidR="003C55EB" w:rsidRDefault="003C55EB" w:rsidP="003C55EB">
      <w:pPr>
        <w:jc w:val="both"/>
        <w:rPr>
          <w:rFonts w:ascii="Calibri" w:hAnsi="Calibri" w:cs="Arial"/>
          <w:b/>
          <w:bCs/>
        </w:rPr>
      </w:pPr>
    </w:p>
    <w:p w:rsidR="003C55EB" w:rsidRDefault="003C55EB" w:rsidP="003C55EB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zmieniające zarządzenie w sprawie regulaminu organizacyjnego  Urzędu  Miejskiego w Policach</w:t>
      </w:r>
    </w:p>
    <w:p w:rsidR="003C55EB" w:rsidRDefault="003C55EB" w:rsidP="003C55EB">
      <w:pPr>
        <w:jc w:val="both"/>
        <w:rPr>
          <w:rFonts w:ascii="Calibri" w:hAnsi="Calibri" w:cs="Arial"/>
          <w:b/>
          <w:bCs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Działając na podstawie art. 33 ust. 2 ustawy z dnia 8 marca 1990r. o samorządzie gminnym /Dz.U. z 2019 r. poz. 506/ zarządzam, co następuje:</w:t>
      </w:r>
    </w:p>
    <w:p w:rsidR="003C55EB" w:rsidRDefault="003C55EB" w:rsidP="003C55EB">
      <w:pPr>
        <w:rPr>
          <w:rFonts w:ascii="Calibri" w:hAnsi="Calibri" w:cs="Arial"/>
          <w:b/>
          <w:bCs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§ 1. </w:t>
      </w:r>
      <w:r>
        <w:rPr>
          <w:rFonts w:ascii="Calibri" w:hAnsi="Calibri" w:cs="Arial"/>
        </w:rPr>
        <w:t>W załączniku do zarządzenia  Nr 22/2019 Burmistrza Polic z dnia 2 stycznia 2019 roku w sprawie regulaminu organizacyjnego Urzędu Miejskiego w Policach wprowadza się następujące zmiany:</w:t>
      </w:r>
    </w:p>
    <w:p w:rsidR="003C55EB" w:rsidRDefault="003C55EB" w:rsidP="003C55EB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1/</w:t>
      </w:r>
      <w:r>
        <w:rPr>
          <w:rFonts w:ascii="Calibri" w:hAnsi="Calibri" w:cs="Arial"/>
        </w:rPr>
        <w:t xml:space="preserve"> § 12 otrzymuje brzmienie:</w:t>
      </w:r>
    </w:p>
    <w:p w:rsidR="003C55EB" w:rsidRDefault="003C55EB" w:rsidP="003C55EB">
      <w:pPr>
        <w:pStyle w:val="Zwykytekst"/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„Wydział Urbanistyki i Architektury</w:t>
      </w:r>
    </w:p>
    <w:p w:rsidR="003C55EB" w:rsidRDefault="003C55EB" w:rsidP="003C55EB">
      <w:pPr>
        <w:pStyle w:val="Zwykytekst"/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Do  zakresu działania Wydziału Urbanistyki i Architektury należy w szczególności:</w:t>
      </w:r>
    </w:p>
    <w:p w:rsidR="003C55EB" w:rsidRDefault="003C55EB" w:rsidP="003C55EB">
      <w:pPr>
        <w:pStyle w:val="Zwykytekst"/>
        <w:numPr>
          <w:ilvl w:val="0"/>
          <w:numId w:val="3"/>
        </w:numPr>
        <w:jc w:val="both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opracowywanie i  aktualizacja  przyjętej strategii w systemie planowania przestrzennego gminy;</w:t>
      </w:r>
    </w:p>
    <w:p w:rsidR="003C55EB" w:rsidRDefault="003C55EB" w:rsidP="003C55EB">
      <w:pPr>
        <w:pStyle w:val="Zwykytekst"/>
        <w:numPr>
          <w:ilvl w:val="0"/>
          <w:numId w:val="3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stymulowanie rozwoju społeczno-gospodarczego w zakresie tworzenia założeń do planów urbanistycznych i nadzorowanie ich realizacji;</w:t>
      </w:r>
    </w:p>
    <w:p w:rsidR="003C55EB" w:rsidRDefault="003C55EB" w:rsidP="003C55EB">
      <w:pPr>
        <w:pStyle w:val="Zwykytekst"/>
        <w:numPr>
          <w:ilvl w:val="0"/>
          <w:numId w:val="3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zharmonizowanie rozwoju społeczno-gospodarczego z ochroną środowiska naturalnego w zakresie planowania przestrzennego w sposób zapewniający zrównoważony rozwój i wzajemną koegzystencję przyrody i terenów zurbanizowanych;</w:t>
      </w:r>
    </w:p>
    <w:p w:rsidR="003C55EB" w:rsidRDefault="003C55EB" w:rsidP="003C55EB">
      <w:pPr>
        <w:pStyle w:val="Zwykytekst"/>
        <w:numPr>
          <w:ilvl w:val="0"/>
          <w:numId w:val="3"/>
        </w:numPr>
        <w:jc w:val="both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prowadzenie i koordynowanie prac związanych z opracowywaniem i realizacją  studium uwarunkowań i kierunków zagospodarowania przestrzennego oraz miejscowych planów zagospodarowania przestrzennego gminy;</w:t>
      </w:r>
    </w:p>
    <w:p w:rsidR="003C55EB" w:rsidRDefault="003C55EB" w:rsidP="003C55EB">
      <w:pPr>
        <w:pStyle w:val="Zwykytekst"/>
        <w:numPr>
          <w:ilvl w:val="0"/>
          <w:numId w:val="3"/>
        </w:numPr>
        <w:jc w:val="both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prowadzenie spraw w ramach zadań własnych: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sporządzanie wypisów i wyrysów z miejscowego planu zagospodarowania przestrzennego i studium uwarunkowań i kierunków zagospodarowania przestrzennego Gminy Police,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decyzji o warunkach zabudowy,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decyzji o ustaleniu lokalizacji inwestycji celu publicznego,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opinii w sprawie wstępnego projektu podziału działek,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opinii w sprawie prac geologicznych,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zaświadczeń o zgodności zamierzonej zmiany sposobu użytkowania,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wydawanie zaświadczeń o zgodności budowy,</w:t>
      </w:r>
    </w:p>
    <w:p w:rsidR="003C55EB" w:rsidRDefault="003C55EB" w:rsidP="003C55EB">
      <w:pPr>
        <w:pStyle w:val="Zwykyteks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 wydawanie zaświadczeń czy nieruchomość znajduje się w gminnym obszarze rewitalizacji oraz specjalnej strefie rewitalizacji.”.</w:t>
      </w:r>
    </w:p>
    <w:p w:rsidR="003C55EB" w:rsidRDefault="003C55EB" w:rsidP="003C55EB">
      <w:pPr>
        <w:pStyle w:val="Zwykytekst"/>
        <w:jc w:val="center"/>
        <w:rPr>
          <w:rFonts w:ascii="Calibri" w:eastAsia="MS Mincho" w:hAnsi="Calibri" w:cs="Times New Roman"/>
          <w:sz w:val="24"/>
          <w:szCs w:val="24"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2/</w:t>
      </w:r>
      <w:r>
        <w:rPr>
          <w:rFonts w:ascii="Calibri" w:hAnsi="Calibri" w:cs="Arial"/>
        </w:rPr>
        <w:t xml:space="preserve"> § 17 otrzymuje brzmienie: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„Wydział Ochrony Środowiska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Do zakresu działania Wydziału Ochrony Środowiska należy w szczególności: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1) prowadzenie postępowań w zakresie wydawania decyzji:</w:t>
      </w:r>
      <w:r>
        <w:rPr>
          <w:rFonts w:ascii="Calibri" w:hAnsi="Calibri"/>
        </w:rPr>
        <w:br/>
        <w:t>    - na usunięcie drzew i krzewów,</w:t>
      </w:r>
      <w:r>
        <w:rPr>
          <w:rFonts w:ascii="Calibri" w:hAnsi="Calibri"/>
        </w:rPr>
        <w:br/>
        <w:t>    - na usunięcie drzew i krzewów  z naliczeniem opłat za usuwanie drzew i krzewów,</w:t>
      </w:r>
      <w:r>
        <w:rPr>
          <w:rFonts w:ascii="Calibri" w:hAnsi="Calibri"/>
        </w:rPr>
        <w:br/>
        <w:t xml:space="preserve">    - w przedmiocie naliczania administracyjnych kar pieniężnych za usuwanie, niszczenie             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  i niewłaściwą  pielęgnację drzew i krzewów,</w:t>
      </w:r>
      <w:r>
        <w:rPr>
          <w:rFonts w:ascii="Calibri" w:hAnsi="Calibri"/>
        </w:rPr>
        <w:br/>
        <w:t xml:space="preserve">2) utrzymywanie zieleni w gminie wraz z nadzorem oraz przygotowywanie i przeprowadzanie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przetargów na utrzymanie zieleni w gminie,</w:t>
      </w:r>
      <w:r>
        <w:rPr>
          <w:rFonts w:ascii="Calibri" w:hAnsi="Calibri"/>
        </w:rPr>
        <w:br/>
        <w:t>3) kontrola przestrzegania przepisów na terenach wokół ujęć wody pitnej;</w:t>
      </w:r>
      <w:r>
        <w:rPr>
          <w:rFonts w:ascii="Calibri" w:hAnsi="Calibri"/>
        </w:rPr>
        <w:br/>
        <w:t xml:space="preserve">4) przeprowadzanie akcji sprzątania terenów zielonych z okazji Dni Ziemi z udziałem szkół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oraz z okazji Sprzątania Świata,</w:t>
      </w:r>
      <w:r>
        <w:rPr>
          <w:rFonts w:ascii="Calibri" w:hAnsi="Calibri"/>
        </w:rPr>
        <w:br/>
        <w:t xml:space="preserve">5) prowadzenie spraw dotyczących przyznawania dotacji na modernizację systemów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grzewczych,</w:t>
      </w:r>
      <w:r>
        <w:rPr>
          <w:rFonts w:ascii="Calibri" w:hAnsi="Calibri"/>
        </w:rPr>
        <w:br/>
        <w:t>6) odkomarzanie gminy - organizacja i nadzór nad wykonywaniem,</w:t>
      </w:r>
      <w:r>
        <w:rPr>
          <w:rFonts w:ascii="Calibri" w:hAnsi="Calibri"/>
        </w:rPr>
        <w:br/>
        <w:t>7) wydawanie decyzji i postanowień wynikających z ustawy o odpadach,</w:t>
      </w:r>
      <w:r>
        <w:rPr>
          <w:rFonts w:ascii="Calibri" w:hAnsi="Calibri"/>
        </w:rPr>
        <w:br/>
        <w:t>8) likwidacja dzikich wysypisk,</w:t>
      </w:r>
      <w:r>
        <w:rPr>
          <w:rFonts w:ascii="Calibri" w:hAnsi="Calibri"/>
        </w:rPr>
        <w:br/>
        <w:t xml:space="preserve">9) przygotowywanie projektów zarządzeń Burmistrza Polic dotyczących przychodów,    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dochodów i wydatków ze środków uzyskanych z tytułu opłat i kar za korzystanie ze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środowiska,</w:t>
      </w:r>
      <w:r>
        <w:rPr>
          <w:rFonts w:ascii="Calibri" w:hAnsi="Calibri"/>
        </w:rPr>
        <w:br/>
        <w:t xml:space="preserve">10) prowadzenie postępowań w zakresie wydawania decyzji o środowiskowych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  uwarunkowań dla planowanych przedsięwzięć,</w:t>
      </w:r>
      <w:r>
        <w:rPr>
          <w:rFonts w:ascii="Calibri" w:hAnsi="Calibri"/>
        </w:rPr>
        <w:br/>
        <w:t xml:space="preserve">11) realizacja zadań związanych z ochroną zwierząt oraz z zapobieganiem i zwalczaniem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  bezdomności zwierząt na terenie gminy,</w:t>
      </w:r>
      <w:r>
        <w:rPr>
          <w:rFonts w:ascii="Calibri" w:hAnsi="Calibri"/>
        </w:rPr>
        <w:br/>
        <w:t xml:space="preserve">12) współpraca ze stowarzyszeniami, których celem jest ochrona środowiska oraz ochrona </w:t>
      </w:r>
    </w:p>
    <w:p w:rsidR="003C55EB" w:rsidRDefault="003C55EB" w:rsidP="003C55EB">
      <w:pPr>
        <w:pStyle w:val="Normalny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      zwierząt,</w:t>
      </w:r>
      <w:r>
        <w:rPr>
          <w:rFonts w:ascii="Calibri" w:hAnsi="Calibri"/>
        </w:rPr>
        <w:br/>
        <w:t>13) wydawanie zezwoleń na utrzymywanie psów rasy agresywnej,</w:t>
      </w:r>
      <w:r>
        <w:rPr>
          <w:rFonts w:ascii="Calibri" w:hAnsi="Calibri"/>
        </w:rPr>
        <w:br/>
        <w:t>14) współpraca z organami działającymi w zakresie ochrony środowiska.”.</w:t>
      </w:r>
    </w:p>
    <w:p w:rsidR="003C55EB" w:rsidRDefault="003C55EB" w:rsidP="003C55EB">
      <w:pPr>
        <w:jc w:val="both"/>
        <w:rPr>
          <w:rFonts w:ascii="Calibri" w:hAnsi="Calibri"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3/</w:t>
      </w:r>
      <w:r>
        <w:rPr>
          <w:rFonts w:ascii="Calibri" w:hAnsi="Calibri" w:cs="Arial"/>
        </w:rPr>
        <w:t xml:space="preserve"> schemat organizacyjny otrzymuje brzmienie jak załącznik do zarządzenia.</w:t>
      </w:r>
    </w:p>
    <w:p w:rsidR="003C55EB" w:rsidRDefault="003C55EB" w:rsidP="003C55EB">
      <w:pPr>
        <w:jc w:val="both"/>
        <w:rPr>
          <w:rFonts w:ascii="Calibri" w:hAnsi="Calibri" w:cs="Arial"/>
        </w:rPr>
      </w:pPr>
    </w:p>
    <w:p w:rsidR="003C55EB" w:rsidRDefault="003C55EB" w:rsidP="003C55EB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§ 2</w:t>
      </w:r>
      <w:r>
        <w:rPr>
          <w:rFonts w:ascii="Calibri" w:hAnsi="Calibri" w:cs="Arial"/>
        </w:rPr>
        <w:t>. Zarządzenie wchodzi w życie z dniem podpisania.</w:t>
      </w:r>
    </w:p>
    <w:p w:rsidR="003C55EB" w:rsidRDefault="003C55EB" w:rsidP="003C55EB">
      <w:pPr>
        <w:ind w:firstLine="708"/>
        <w:jc w:val="both"/>
        <w:rPr>
          <w:rFonts w:ascii="Calibri" w:hAnsi="Calibri" w:cs="Arial"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</w:p>
    <w:p w:rsidR="003C55EB" w:rsidRDefault="003C55EB" w:rsidP="003C55EB">
      <w:pPr>
        <w:jc w:val="both"/>
        <w:rPr>
          <w:rFonts w:ascii="Calibri" w:hAnsi="Calibri" w:cs="Arial"/>
        </w:rPr>
      </w:pPr>
    </w:p>
    <w:p w:rsidR="003C55EB" w:rsidRDefault="003C55EB" w:rsidP="003C55EB">
      <w:pPr>
        <w:jc w:val="both"/>
        <w:rPr>
          <w:rFonts w:ascii="Arial" w:hAnsi="Arial" w:cs="Arial"/>
        </w:rPr>
      </w:pPr>
    </w:p>
    <w:p w:rsidR="003C55EB" w:rsidRDefault="003C55EB" w:rsidP="003C55EB">
      <w:pPr>
        <w:jc w:val="both"/>
        <w:rPr>
          <w:rFonts w:ascii="Arial" w:hAnsi="Arial" w:cs="Arial"/>
          <w:b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Calibri" w:hAnsi="Calibri" w:cs="Arial"/>
          <w:b/>
          <w:bCs/>
        </w:rPr>
      </w:pPr>
    </w:p>
    <w:p w:rsidR="003C55EB" w:rsidRDefault="003C55EB" w:rsidP="003C55EB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Uzasadnienie</w:t>
      </w:r>
    </w:p>
    <w:p w:rsidR="003C55EB" w:rsidRDefault="003C55EB" w:rsidP="003C55EB">
      <w:pPr>
        <w:rPr>
          <w:rFonts w:ascii="Calibri" w:hAnsi="Calibri" w:cs="Arial"/>
          <w:b/>
          <w:bCs/>
        </w:rPr>
      </w:pPr>
    </w:p>
    <w:p w:rsidR="003C55EB" w:rsidRDefault="003C55EB" w:rsidP="003C55EB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Zakresy działań Wydziałów: Urbanistyki i Architektury oraz Ochrony Środowiska dostosowano do aktualnego stanu faktycznego i prawnego.</w:t>
      </w:r>
    </w:p>
    <w:p w:rsidR="003C55EB" w:rsidRDefault="003C55EB" w:rsidP="003C55EB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Wydziale Techniczno-Inwestycyjnym zmniejszono zatrudnienie do 9 osób /było 10/, natomiast w Wydziale Gospodarki Komunalnej i Mieszkaniowej zwiększono zatrudnienie do 8 osób /było 7/.</w:t>
      </w: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3C55EB">
      <w:pPr>
        <w:jc w:val="center"/>
        <w:rPr>
          <w:rFonts w:ascii="Arial" w:hAnsi="Arial" w:cs="Arial"/>
          <w:b/>
          <w:bCs/>
          <w:sz w:val="32"/>
        </w:rPr>
      </w:pPr>
    </w:p>
    <w:p w:rsidR="003C55EB" w:rsidRDefault="003C55EB" w:rsidP="00DF51C1">
      <w:pPr>
        <w:rPr>
          <w:rFonts w:ascii="Calibri" w:hAnsi="Calibri"/>
          <w:color w:val="000000"/>
        </w:rPr>
      </w:pPr>
      <w:bookmarkStart w:id="0" w:name="_GoBack"/>
      <w:bookmarkEnd w:id="0"/>
    </w:p>
    <w:sectPr w:rsidR="003C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7F7"/>
    <w:multiLevelType w:val="hybridMultilevel"/>
    <w:tmpl w:val="38580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031"/>
    <w:multiLevelType w:val="hybridMultilevel"/>
    <w:tmpl w:val="1C9628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639F6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A1941"/>
    <w:multiLevelType w:val="hybridMultilevel"/>
    <w:tmpl w:val="BCAEE0EE"/>
    <w:lvl w:ilvl="0" w:tplc="C34CBE7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703253"/>
    <w:multiLevelType w:val="hybridMultilevel"/>
    <w:tmpl w:val="1F545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9E"/>
    <w:rsid w:val="00184B56"/>
    <w:rsid w:val="003A5798"/>
    <w:rsid w:val="003C55EB"/>
    <w:rsid w:val="005A23F4"/>
    <w:rsid w:val="006C4BED"/>
    <w:rsid w:val="006E2554"/>
    <w:rsid w:val="00994C9E"/>
    <w:rsid w:val="00AE7B6E"/>
    <w:rsid w:val="00DD5E86"/>
    <w:rsid w:val="00D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5EB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C55E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C55EB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5EB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C55E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C55E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78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0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7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8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3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7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2C3B-A0BE-4DBA-B0E7-D1CC5177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2019-06-06T09:50:00Z</cp:lastPrinted>
  <dcterms:created xsi:type="dcterms:W3CDTF">2018-07-03T07:30:00Z</dcterms:created>
  <dcterms:modified xsi:type="dcterms:W3CDTF">2019-06-21T07:54:00Z</dcterms:modified>
</cp:coreProperties>
</file>