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8B4AF2"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Police, dnia 12</w:t>
      </w:r>
      <w:r w:rsidR="00F0021C">
        <w:rPr>
          <w:rFonts w:asciiTheme="minorHAnsi" w:hAnsiTheme="minorHAnsi" w:cs="Arial"/>
          <w:b/>
          <w:color w:val="000000" w:themeColor="text1"/>
        </w:rPr>
        <w:t xml:space="preserve"> grudnia</w:t>
      </w:r>
      <w:r w:rsidR="00F26E45" w:rsidRPr="000E339C">
        <w:rPr>
          <w:rFonts w:asciiTheme="minorHAnsi" w:hAnsiTheme="minorHAnsi" w:cs="Arial"/>
          <w:b/>
          <w:color w:val="000000" w:themeColor="text1"/>
        </w:rPr>
        <w:t xml:space="preserve"> 2018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Gmina Police</w:t>
      </w:r>
      <w:r w:rsidR="007F5620" w:rsidRPr="000E339C">
        <w:rPr>
          <w:rFonts w:asciiTheme="minorHAnsi" w:hAnsiTheme="minorHAnsi" w:cs="Arial"/>
          <w:color w:val="000000" w:themeColor="text1"/>
        </w:rPr>
        <w:t xml:space="preserve"> </w:t>
      </w: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Pr="000E339C">
        <w:rPr>
          <w:rFonts w:asciiTheme="minorHAnsi" w:hAnsiTheme="minorHAnsi" w:cs="Arial"/>
          <w:color w:val="000000" w:themeColor="text1"/>
        </w:rPr>
        <w:t xml:space="preserve"> przetarg nieograniczony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Pr="00114607" w:rsidRDefault="007F5620" w:rsidP="00114607">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www.bip.police.pl</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4"/>
      <w:r w:rsidRPr="000E339C">
        <w:rPr>
          <w:rFonts w:asciiTheme="minorHAnsi" w:hAnsiTheme="minorHAnsi" w:cs="Arial"/>
          <w:b/>
          <w:bCs/>
          <w:color w:val="000000" w:themeColor="text1"/>
          <w:lang w:eastAsia="en-US"/>
        </w:rPr>
        <w:t xml:space="preserve">Zamówienia </w:t>
      </w:r>
      <w:bookmarkEnd w:id="0"/>
      <w:r w:rsidRPr="000E339C">
        <w:rPr>
          <w:rFonts w:asciiTheme="minorHAnsi" w:hAnsiTheme="minorHAnsi" w:cs="Arial"/>
          <w:b/>
          <w:bCs/>
          <w:color w:val="000000" w:themeColor="text1"/>
          <w:lang w:eastAsia="en-US"/>
        </w:rPr>
        <w:t>na podst. art. 67 ust. 1 pkt 6</w:t>
      </w:r>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sidR="004B160E">
        <w:rPr>
          <w:rFonts w:asciiTheme="minorHAnsi" w:hAnsiTheme="minorHAnsi" w:cs="Arial"/>
          <w:color w:val="000000" w:themeColor="text1"/>
          <w:sz w:val="22"/>
          <w:szCs w:val="22"/>
          <w:lang w:eastAsia="en-US"/>
        </w:rPr>
        <w:t>ówień publicznych (Dz. U. z 2018 r., poz. 1986</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Wielkość zamówienia stanowić będzie nie więcej niż 50%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5"/>
      <w:r w:rsidRPr="000E339C">
        <w:rPr>
          <w:rFonts w:asciiTheme="minorHAnsi" w:hAnsiTheme="minorHAnsi" w:cs="Arial"/>
          <w:b/>
          <w:bCs/>
          <w:color w:val="000000" w:themeColor="text1"/>
          <w:lang w:eastAsia="en-US"/>
        </w:rPr>
        <w:t>Oferty wariantowe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2" w:name="_Toc354469316"/>
      <w:r w:rsidRPr="000E339C">
        <w:rPr>
          <w:rFonts w:asciiTheme="minorHAnsi" w:hAnsiTheme="minorHAnsi" w:cs="Arial"/>
          <w:b/>
          <w:bCs/>
          <w:color w:val="000000" w:themeColor="text1"/>
          <w:lang w:eastAsia="en-US"/>
        </w:rPr>
        <w:t>Oferty częściowe</w:t>
      </w:r>
      <w:bookmarkEnd w:id="2"/>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r w:rsidR="002432BD" w:rsidRPr="000E339C">
        <w:rPr>
          <w:rFonts w:asciiTheme="minorHAnsi" w:hAnsiTheme="minorHAnsi" w:cs="Arial"/>
          <w:color w:val="000000" w:themeColor="text1"/>
        </w:rPr>
        <w:t>od 01 stycznia 2019 r. do dnia 31 grudnia 2019</w:t>
      </w:r>
      <w:r w:rsidRPr="000E339C">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lastRenderedPageBreak/>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r. Prawo pocztowe (Dz. U. z 2017 r., poz. 1481),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lastRenderedPageBreak/>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6A5E10"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 xml:space="preserve">Oświadczenia i dokumenty, jakie zobowiązani są dostarczyć Wykonawcy w celu wykazania </w:t>
      </w:r>
    </w:p>
    <w:p w:rsidR="006A5E10"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braku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w:t>
      </w: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oraz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2p.z.p.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Zaświadczenie o wpisie do rejestru operatorów pocztowych prowadzonego przez Prezesa Urzędu Komunikacji Elektronicznej na wykonywanie działalności pocztowej w zakresie </w:t>
      </w:r>
      <w:r w:rsidRPr="000E339C">
        <w:rPr>
          <w:rFonts w:asciiTheme="minorHAnsi" w:hAnsiTheme="minorHAnsi" w:cs="Arial"/>
          <w:color w:val="000000" w:themeColor="text1"/>
          <w:sz w:val="22"/>
          <w:szCs w:val="22"/>
          <w:lang w:eastAsia="en-US"/>
        </w:rPr>
        <w:lastRenderedPageBreak/>
        <w:t>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A21D0E">
      <w:pPr>
        <w:numPr>
          <w:ilvl w:val="0"/>
          <w:numId w:val="6"/>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Wypełniony i podpisany formularz asortymentowo – cenowy sporządzony zgodnie z treścią i formą zawartą we wzorze stanowiącym załącznik nr 2 do SIWZ.</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wspólnie o udzielenie zamówienia 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jkolesinska@</w:t>
      </w:r>
      <w:r w:rsidRPr="000E339C">
        <w:rPr>
          <w:rFonts w:asciiTheme="minorHAnsi" w:hAnsiTheme="minorHAnsi" w:cs="Arial"/>
          <w:color w:val="000000" w:themeColor="text1"/>
          <w:spacing w:val="-2"/>
        </w:rPr>
        <w:t>ug.police.pl).</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Godziny pracy Urzędu Miejskiego w Policach: poniedziałek: 8.00 – 16.00, </w:t>
      </w:r>
      <w:r w:rsidR="00AF6422">
        <w:rPr>
          <w:rFonts w:asciiTheme="minorHAnsi" w:hAnsiTheme="minorHAnsi" w:cs="Arial"/>
          <w:color w:val="000000" w:themeColor="text1"/>
        </w:rPr>
        <w:br/>
      </w:r>
      <w:r w:rsidRPr="000E339C">
        <w:rPr>
          <w:rFonts w:asciiTheme="minorHAnsi" w:hAnsiTheme="minorHAnsi" w:cs="Arial"/>
          <w:color w:val="000000" w:themeColor="text1"/>
        </w:rPr>
        <w:t>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uzasadnionych przypadkach Zamawiający może przed upływem terminu składania ofert zmienić specyfikację istotnych warunków zamówienia. Dokonaną zmianę specyfikacji Zamawiający zamieści na Biuletynie Informacji Publicznej Urzędu Miejskiego w Policach, pod adresem: www.bip.police.pl.</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3" w:name="_Toc354469309"/>
      <w:bookmarkStart w:id="4"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3"/>
      <w:bookmarkEnd w:id="4"/>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705A8D" w:rsidRPr="000E339C" w:rsidRDefault="00F26E45" w:rsidP="00366FED">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p>
    <w:p w:rsidR="004A3EAA" w:rsidRPr="000E339C" w:rsidRDefault="004A3EAA" w:rsidP="004A3EAA">
      <w:pPr>
        <w:tabs>
          <w:tab w:val="right" w:pos="284"/>
          <w:tab w:val="left" w:pos="408"/>
        </w:tabs>
        <w:spacing w:line="276" w:lineRule="auto"/>
        <w:jc w:val="both"/>
        <w:rPr>
          <w:rFonts w:asciiTheme="minorHAnsi" w:hAnsiTheme="minorHAnsi" w:cs="Arial"/>
          <w:color w:val="000000" w:themeColor="text1"/>
        </w:rPr>
      </w:pP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Zaleca się, aby wszystkie zapisane strony oferty były ponumerowane, ułożone 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nieprawidłowego zaadresowania lub zamknięcia koperty zamawiający nie bierze odpowiedzialności za złe skierowanie przesyłki i jej przedterminowe otwarcie. 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8B4AF2">
        <w:rPr>
          <w:rFonts w:asciiTheme="minorHAnsi" w:hAnsiTheme="minorHAnsi" w:cs="Arial"/>
          <w:b/>
          <w:color w:val="000000" w:themeColor="text1"/>
          <w:u w:val="single"/>
        </w:rPr>
        <w:t>terminie do dnia 18</w:t>
      </w:r>
      <w:r w:rsidR="0057588D">
        <w:rPr>
          <w:rFonts w:asciiTheme="minorHAnsi" w:hAnsiTheme="minorHAnsi" w:cs="Arial"/>
          <w:b/>
          <w:color w:val="000000" w:themeColor="text1"/>
          <w:u w:val="single"/>
        </w:rPr>
        <w:t xml:space="preserve"> grudnia</w:t>
      </w:r>
      <w:r w:rsidR="001E56C0" w:rsidRPr="000E339C">
        <w:rPr>
          <w:rFonts w:asciiTheme="minorHAnsi" w:hAnsiTheme="minorHAnsi" w:cs="Arial"/>
          <w:b/>
          <w:color w:val="000000" w:themeColor="text1"/>
          <w:u w:val="single"/>
        </w:rPr>
        <w:t xml:space="preserve"> 2018</w:t>
      </w:r>
      <w:r w:rsidRPr="000E339C">
        <w:rPr>
          <w:rFonts w:asciiTheme="minorHAnsi" w:hAnsiTheme="minorHAnsi" w:cs="Arial"/>
          <w:b/>
          <w:color w:val="000000" w:themeColor="text1"/>
          <w:u w:val="single"/>
        </w:rPr>
        <w:t xml:space="preserve"> do godz. 9.00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8B4AF2">
        <w:rPr>
          <w:rFonts w:asciiTheme="minorHAnsi" w:hAnsiTheme="minorHAnsi" w:cs="Arial"/>
          <w:color w:val="000000" w:themeColor="text1"/>
        </w:rPr>
        <w:t>18</w:t>
      </w:r>
      <w:r w:rsidR="0057588D">
        <w:rPr>
          <w:rFonts w:asciiTheme="minorHAnsi" w:hAnsiTheme="minorHAnsi" w:cs="Arial"/>
          <w:color w:val="000000" w:themeColor="text1"/>
        </w:rPr>
        <w:t xml:space="preserve"> grudnia</w:t>
      </w:r>
      <w:r w:rsidR="001E56C0" w:rsidRPr="000E339C">
        <w:rPr>
          <w:rFonts w:asciiTheme="minorHAnsi" w:hAnsiTheme="minorHAnsi" w:cs="Arial"/>
          <w:color w:val="000000" w:themeColor="text1"/>
        </w:rPr>
        <w:t xml:space="preserve"> 2018</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li 32 o godz. 9.15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Cena zamówienia powinna zawierać w sobie ewentualne upusty oferowane przez wykonawcę.</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Wykonawca w przedstawionej ofercie winien zaoferować cenę kompletną, jednoznaczną 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kryteriów, którymi zamawiający będzie się kierował przy wyborze oferty, wraz 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lastRenderedPageBreak/>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F0021C">
        <w:rPr>
          <w:rFonts w:asciiTheme="minorHAnsi" w:hAnsiTheme="minorHAnsi" w:cs="Arial"/>
          <w:color w:val="000000" w:themeColor="text1"/>
          <w:lang w:eastAsia="en-US"/>
        </w:rPr>
        <w:t xml:space="preserve"> stanu na dzień 31 października</w:t>
      </w:r>
      <w:r w:rsidR="0028408A" w:rsidRPr="000E339C">
        <w:rPr>
          <w:rFonts w:asciiTheme="minorHAnsi" w:hAnsiTheme="minorHAnsi" w:cs="Arial"/>
          <w:color w:val="000000" w:themeColor="text1"/>
          <w:lang w:eastAsia="en-US"/>
        </w:rPr>
        <w:t xml:space="preserve"> 2018</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0E339C" w:rsidRDefault="000B488B" w:rsidP="0028408A">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0153A4">
      <w:pPr>
        <w:spacing w:line="276" w:lineRule="auto"/>
        <w:ind w:left="720"/>
        <w:contextualSpacing/>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F0021C">
        <w:rPr>
          <w:rFonts w:asciiTheme="minorHAnsi" w:hAnsiTheme="minorHAnsi" w:cs="Arial"/>
          <w:color w:val="000000" w:themeColor="text1"/>
          <w:lang w:eastAsia="en-US"/>
        </w:rPr>
        <w:t>dzień  31 października</w:t>
      </w:r>
      <w:r w:rsidR="008A5069">
        <w:rPr>
          <w:rFonts w:asciiTheme="minorHAnsi" w:hAnsiTheme="minorHAnsi" w:cs="Arial"/>
          <w:color w:val="000000" w:themeColor="text1"/>
          <w:lang w:eastAsia="en-US"/>
        </w:rPr>
        <w:t xml:space="preserve"> </w:t>
      </w:r>
      <w:r w:rsidR="0028408A" w:rsidRPr="000E339C">
        <w:rPr>
          <w:rFonts w:asciiTheme="minorHAnsi" w:hAnsiTheme="minorHAnsi" w:cs="Arial"/>
          <w:color w:val="000000" w:themeColor="text1"/>
          <w:lang w:eastAsia="en-US"/>
        </w:rPr>
        <w:t>2018</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lastRenderedPageBreak/>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F0021C">
        <w:rPr>
          <w:rFonts w:asciiTheme="minorHAnsi" w:hAnsiTheme="minorHAnsi" w:cs="Arial"/>
          <w:color w:val="000000" w:themeColor="text1"/>
          <w:lang w:eastAsia="en-US"/>
        </w:rPr>
        <w:t xml:space="preserve"> stanu na dzień 31 października</w:t>
      </w:r>
      <w:r w:rsidR="0028408A" w:rsidRPr="000E339C">
        <w:rPr>
          <w:rFonts w:asciiTheme="minorHAnsi" w:hAnsiTheme="minorHAnsi" w:cs="Arial"/>
          <w:color w:val="000000" w:themeColor="text1"/>
          <w:lang w:eastAsia="en-US"/>
        </w:rPr>
        <w:t xml:space="preserve"> 2018</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F0021C">
        <w:rPr>
          <w:rFonts w:asciiTheme="minorHAnsi" w:hAnsiTheme="minorHAnsi" w:cs="Arial"/>
          <w:color w:val="000000" w:themeColor="text1"/>
          <w:lang w:eastAsia="en-US"/>
        </w:rPr>
        <w:t xml:space="preserve"> 31 października</w:t>
      </w:r>
      <w:r w:rsidR="008A5069">
        <w:rPr>
          <w:rFonts w:asciiTheme="minorHAnsi" w:hAnsiTheme="minorHAnsi" w:cs="Arial"/>
          <w:color w:val="000000" w:themeColor="text1"/>
          <w:lang w:eastAsia="en-US"/>
        </w:rPr>
        <w:t xml:space="preserve"> </w:t>
      </w:r>
      <w:r w:rsidR="0028408A" w:rsidRPr="000E339C">
        <w:rPr>
          <w:rFonts w:asciiTheme="minorHAnsi" w:hAnsiTheme="minorHAnsi" w:cs="Arial"/>
          <w:color w:val="000000" w:themeColor="text1"/>
          <w:lang w:eastAsia="en-US"/>
        </w:rPr>
        <w:t>2018</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XIV - Informacje o formalnościach, jakie powinny zostać dopełnione po wyborze oferty 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lastRenderedPageBreak/>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 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lastRenderedPageBreak/>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33C25">
      <w:pPr>
        <w:spacing w:before="200" w:after="200" w:line="276" w:lineRule="auto"/>
        <w:ind w:left="360"/>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FF62C7">
        <w:rPr>
          <w:rFonts w:asciiTheme="minorHAnsi" w:eastAsia="Calibri" w:hAnsiTheme="minorHAnsi" w:cs="Arial"/>
          <w:color w:val="000000" w:themeColor="text1"/>
          <w:lang w:eastAsia="en-US"/>
        </w:rPr>
        <w:t>ku VAT za usługi pocztowe w 2019</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kodę w wyniku naruszenia przez 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t>XVIII</w:t>
      </w:r>
      <w:r w:rsidR="00F26E45" w:rsidRPr="000E339C">
        <w:rPr>
          <w:rFonts w:asciiTheme="minorHAnsi" w:hAnsiTheme="minorHAnsi" w:cs="Arial"/>
          <w:b/>
          <w:color w:val="000000" w:themeColor="text1"/>
        </w:rPr>
        <w:t>. Pozostałe informacje.</w:t>
      </w:r>
    </w:p>
    <w:p w:rsidR="00F26E45" w:rsidRPr="000E339C" w:rsidRDefault="00F26E45" w:rsidP="00F26E45">
      <w:pPr>
        <w:spacing w:line="276" w:lineRule="auto"/>
        <w:jc w:val="both"/>
        <w:rPr>
          <w:rFonts w:asciiTheme="minorHAnsi" w:hAnsiTheme="minorHAnsi" w:cs="Arial"/>
          <w:b/>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poniesie wszelkie koszty związane z przygotowaniem i złożeniem oferty.</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lastRenderedPageBreak/>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3. Oświadczamy, iż oferujemy realizację zamówienia w terminie od 01</w:t>
            </w:r>
            <w:r w:rsidR="00631E7B" w:rsidRPr="000E339C">
              <w:rPr>
                <w:rFonts w:asciiTheme="minorHAnsi" w:hAnsiTheme="minorHAnsi" w:cs="Arial"/>
              </w:rPr>
              <w:t>.01.2019 r. do dnia 31.12.2019</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631E7B" w:rsidRPr="000E339C">
        <w:rPr>
          <w:rFonts w:asciiTheme="minorHAnsi" w:hAnsiTheme="minorHAnsi" w:cs="Arial"/>
        </w:rPr>
        <w:t>tów w okresie od dnia 01.01.2019 r. do dnia 31.12.2019</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przesyłki pocztowe, będące przedmiotem zamówienia rozumie się przesyłki listowe o wadze do 2000 g (gabaryt A i B):</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w:t>
      </w:r>
      <w:r w:rsidR="00631E7B" w:rsidRPr="000E339C">
        <w:rPr>
          <w:rFonts w:asciiTheme="minorHAnsi" w:hAnsiTheme="minorHAnsi" w:cs="Arial"/>
        </w:rPr>
        <w:t>-</w:t>
      </w:r>
      <w:r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przekraczać wysokości 20 mm, długości 325 mm, szerokości 230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wysokość 20 mm lub długość 325 mm, szerokość 230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szerokości i wysokości nie może być większa niż 900 mm, przy czym największy z tych wymiarów (długość) nie może przekroczyć 600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Zamawiającego, o której mowa w pkt 5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762C0D"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762C0D"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FE18E5">
        <w:rPr>
          <w:rFonts w:asciiTheme="minorHAnsi" w:hAnsiTheme="minorHAnsi" w:cs="Arial"/>
        </w:rPr>
        <w:t>o (Dz. U. z 2018 r. poz. 2096</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w:t>
      </w:r>
      <w:r w:rsidRPr="000E339C">
        <w:rPr>
          <w:rFonts w:asciiTheme="minorHAnsi" w:hAnsiTheme="minorHAnsi" w:cs="Arial"/>
        </w:rPr>
        <w:lastRenderedPageBreak/>
        <w:t xml:space="preserve">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adres Zamawiającego podany w pkt 5.</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zastrzega sobie możliwość korzystania z usług operatora wyznaczonego (w rozumieniu ustawy Prawo pocztowe) poza zamówieniem w przypadku wysyłania </w:t>
      </w:r>
      <w:r w:rsidRPr="000E339C">
        <w:rPr>
          <w:rFonts w:asciiTheme="minorHAnsi" w:hAnsiTheme="minorHAnsi" w:cs="Arial"/>
        </w:rPr>
        <w:lastRenderedPageBreak/>
        <w:t xml:space="preserve">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2018 r., poz. 1360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Ordynacja pod</w:t>
      </w:r>
      <w:r w:rsidR="00FB2566" w:rsidRPr="000E339C">
        <w:rPr>
          <w:rFonts w:asciiTheme="minorHAnsi" w:hAnsiTheme="minorHAnsi" w:cs="Arial"/>
        </w:rPr>
        <w:t>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powyższe będzie dotyczyło około 2000 (słownie: dwa tysiące) przesyłek w skali roku.”.</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Pr="000E339C" w:rsidRDefault="00E33567" w:rsidP="00E33567">
      <w:pPr>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F21EA" w:rsidP="00E33567">
            <w:pPr>
              <w:jc w:val="right"/>
              <w:rPr>
                <w:rFonts w:asciiTheme="minorHAnsi" w:hAnsiTheme="minorHAnsi" w:cs="Arial"/>
                <w:sz w:val="20"/>
                <w:szCs w:val="20"/>
              </w:rPr>
            </w:pPr>
            <w:r>
              <w:rPr>
                <w:rFonts w:asciiTheme="minorHAnsi" w:hAnsiTheme="minorHAnsi" w:cs="Arial"/>
                <w:sz w:val="20"/>
                <w:szCs w:val="20"/>
              </w:rPr>
              <w:t>2</w:t>
            </w:r>
            <w:r w:rsidR="00E33567" w:rsidRPr="000E339C">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20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9B6289">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14</w:t>
            </w:r>
            <w:r w:rsidR="00E33567" w:rsidRPr="000E339C">
              <w:rPr>
                <w:rFonts w:asciiTheme="minorHAnsi" w:hAnsiTheme="minorHAnsi" w:cs="Arial"/>
                <w:sz w:val="20"/>
                <w:szCs w:val="20"/>
              </w:rPr>
              <w:t xml:space="preserve"> 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r w:rsidR="009B6289">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E33567" w:rsidRPr="000E339C" w:rsidRDefault="00E33567"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r w:rsidR="009B6289">
              <w:rPr>
                <w:rFonts w:asciiTheme="minorHAnsi" w:hAnsiTheme="minorHAnsi" w:cs="Arial"/>
                <w:sz w:val="20"/>
                <w:szCs w:val="20"/>
              </w:rPr>
              <w:t>0</w:t>
            </w:r>
            <w:r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2</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6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E33567" w:rsidRPr="000E339C" w:rsidRDefault="00E33567"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 ze zwrotnym potwierdzeniem odbioru</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priorytetowe ze zwrotnym potwierdzeniem odbioru </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 zwrotnym potwierdzeniem odbioru</w:t>
            </w:r>
            <w:r w:rsidRPr="000E339C">
              <w:rPr>
                <w:rFonts w:asciiTheme="minorHAnsi" w:hAnsiTheme="minorHAnsi" w:cs="Arial"/>
                <w:sz w:val="20"/>
                <w:szCs w:val="20"/>
              </w:rPr>
              <w:b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1 0</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Usługa zwrotu przesyłek niedoręczonych</w:t>
            </w:r>
            <w:r w:rsidRPr="000E339C">
              <w:rPr>
                <w:rFonts w:asciiTheme="minorHAnsi" w:hAnsiTheme="minorHAnsi" w:cs="Arial"/>
                <w:sz w:val="20"/>
                <w:szCs w:val="20"/>
              </w:rPr>
              <w:br/>
              <w:t>Listy polecone priorytetowe ze zwrotnym potwierdzeniem odbioru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r w:rsidR="00AA3668">
              <w:rPr>
                <w:rFonts w:asciiTheme="minorHAnsi" w:hAnsiTheme="minorHAnsi" w:cs="Arial"/>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x</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0E339C" w:rsidP="00E33567">
      <w:pPr>
        <w:jc w:val="both"/>
        <w:rPr>
          <w:rFonts w:asciiTheme="minorHAnsi" w:hAnsiTheme="minorHAnsi" w:cs="Arial"/>
        </w:rPr>
      </w:pPr>
      <w:r w:rsidRPr="000E339C">
        <w:rPr>
          <w:rFonts w:asciiTheme="minorHAnsi" w:hAnsiTheme="minorHAnsi" w:cs="Arial"/>
        </w:rPr>
        <w:t>………………….. dnia ……………………2018</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 zwrotnym potwierdzeniem odbioru</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F50701" w:rsidP="00E33567">
      <w:pPr>
        <w:jc w:val="both"/>
        <w:rPr>
          <w:rFonts w:asciiTheme="minorHAnsi" w:hAnsiTheme="minorHAnsi" w:cs="Arial"/>
        </w:rPr>
      </w:pPr>
      <w:r>
        <w:rPr>
          <w:rFonts w:asciiTheme="minorHAnsi" w:hAnsiTheme="minorHAnsi" w:cs="Arial"/>
        </w:rPr>
        <w:t>………………….. dnia ……………………2018</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AA3668">
        <w:rPr>
          <w:rFonts w:asciiTheme="minorHAnsi" w:hAnsiTheme="minorHAnsi" w:cs="Arial"/>
        </w:rPr>
        <w:t>9 stycznia 2004r. (Dz. U. z 2018 r., poz. 1986</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r. Prawo Pocztowe (Dz. U. z 2012 r., poz. 1529).</w:t>
      </w:r>
    </w:p>
    <w:p w:rsidR="008A5069" w:rsidRPr="008A5069" w:rsidRDefault="00C2618E" w:rsidP="008A5069">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w:t>
      </w:r>
      <w:r w:rsidR="00D07F0C">
        <w:rPr>
          <w:rFonts w:asciiTheme="minorHAnsi" w:eastAsiaTheme="minorHAnsi" w:hAnsiTheme="minorHAnsi"/>
          <w:lang w:eastAsia="en-US"/>
        </w:rPr>
        <w:t>stępnym na stronie internetowej.</w:t>
      </w:r>
    </w:p>
    <w:p w:rsidR="008A5069" w:rsidRPr="008A5069" w:rsidRDefault="008A5069" w:rsidP="008A5069">
      <w:pPr>
        <w:spacing w:line="276" w:lineRule="auto"/>
        <w:jc w:val="both"/>
        <w:rPr>
          <w:i/>
          <w:color w:val="000000"/>
          <w:sz w:val="22"/>
          <w:szCs w:val="22"/>
          <w:u w:val="single"/>
        </w:rPr>
      </w:pPr>
    </w:p>
    <w:p w:rsidR="00C2618E" w:rsidRPr="00B114EE" w:rsidRDefault="00C2618E" w:rsidP="00C2618E">
      <w:pPr>
        <w:jc w:val="both"/>
        <w:rPr>
          <w:rFonts w:asciiTheme="minorHAnsi" w:eastAsia="MS Mincho" w:hAnsiTheme="minorHAnsi" w:cs="MS Mincho"/>
          <w:lang w:eastAsia="en-US"/>
        </w:rPr>
      </w:pPr>
      <w:r w:rsidRPr="00B114EE">
        <w:rPr>
          <w:rFonts w:asciiTheme="minorHAnsi" w:eastAsiaTheme="minorHAnsi" w:hAnsiTheme="minorHAnsi"/>
          <w:lang w:eastAsia="en-US"/>
        </w:rPr>
        <w:t xml:space="preserve">. </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5.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D07F0C" w:rsidP="00C2618E">
      <w:pPr>
        <w:jc w:val="both"/>
        <w:rPr>
          <w:rFonts w:asciiTheme="minorHAnsi" w:eastAsiaTheme="minorHAnsi" w:hAnsiTheme="minorHAnsi"/>
          <w:lang w:eastAsia="en-US"/>
        </w:rPr>
      </w:pPr>
      <w:r>
        <w:rPr>
          <w:rFonts w:asciiTheme="minorHAnsi" w:eastAsiaTheme="minorHAnsi" w:hAnsiTheme="minorHAnsi"/>
          <w:lang w:eastAsia="en-US"/>
        </w:rPr>
        <w:t>6</w:t>
      </w:r>
      <w:r w:rsidR="00C2618E" w:rsidRPr="00B114EE">
        <w:rPr>
          <w:rFonts w:asciiTheme="minorHAnsi" w:eastAsiaTheme="minorHAnsi" w:hAnsiTheme="minorHAnsi"/>
          <w:lang w:eastAsia="en-US"/>
        </w:rPr>
        <w:t xml:space="preserve">. Strony nie </w:t>
      </w:r>
      <w:proofErr w:type="spellStart"/>
      <w:r w:rsidR="00C2618E" w:rsidRPr="00B114EE">
        <w:rPr>
          <w:rFonts w:asciiTheme="minorHAnsi" w:eastAsiaTheme="minorHAnsi" w:hAnsiTheme="minorHAnsi"/>
          <w:lang w:eastAsia="en-US"/>
        </w:rPr>
        <w:t>ponosza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odpowiedzialności</w:t>
      </w:r>
      <w:proofErr w:type="spellEnd"/>
      <w:r w:rsidR="00C2618E" w:rsidRPr="00B114EE">
        <w:rPr>
          <w:rFonts w:asciiTheme="minorHAnsi" w:eastAsiaTheme="minorHAnsi" w:hAnsiTheme="minorHAnsi"/>
          <w:lang w:eastAsia="en-US"/>
        </w:rPr>
        <w:t xml:space="preserve"> za niewykonanie lub </w:t>
      </w:r>
      <w:proofErr w:type="spellStart"/>
      <w:r w:rsidR="00C2618E" w:rsidRPr="00B114EE">
        <w:rPr>
          <w:rFonts w:asciiTheme="minorHAnsi" w:eastAsiaTheme="minorHAnsi" w:hAnsiTheme="minorHAnsi"/>
          <w:lang w:eastAsia="en-US"/>
        </w:rPr>
        <w:t>nienależyte</w:t>
      </w:r>
      <w:proofErr w:type="spellEnd"/>
      <w:r w:rsidR="00C2618E" w:rsidRPr="00B114EE">
        <w:rPr>
          <w:rFonts w:asciiTheme="minorHAnsi" w:eastAsiaTheme="minorHAnsi" w:hAnsiTheme="minorHAnsi"/>
          <w:lang w:eastAsia="en-US"/>
        </w:rPr>
        <w:t xml:space="preserve"> wykonanie </w:t>
      </w:r>
      <w:proofErr w:type="spellStart"/>
      <w:r w:rsidR="00C2618E" w:rsidRPr="00B114EE">
        <w:rPr>
          <w:rFonts w:asciiTheme="minorHAnsi" w:eastAsiaTheme="minorHAnsi" w:hAnsiTheme="minorHAnsi"/>
          <w:lang w:eastAsia="en-US"/>
        </w:rPr>
        <w:t>obowiązków</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wynikających</w:t>
      </w:r>
      <w:proofErr w:type="spellEnd"/>
      <w:r w:rsidR="00C2618E" w:rsidRPr="00B114EE">
        <w:rPr>
          <w:rFonts w:asciiTheme="minorHAnsi" w:eastAsiaTheme="minorHAnsi" w:hAnsiTheme="minorHAnsi"/>
          <w:lang w:eastAsia="en-US"/>
        </w:rPr>
        <w:t xml:space="preserve"> z umowy spowodowane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Za przypadki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uważa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zdarzenia, na które strony umowy nie miały </w:t>
      </w:r>
      <w:proofErr w:type="spellStart"/>
      <w:r w:rsidR="00C2618E" w:rsidRPr="00B114EE">
        <w:rPr>
          <w:rFonts w:asciiTheme="minorHAnsi" w:eastAsiaTheme="minorHAnsi" w:hAnsiTheme="minorHAnsi"/>
          <w:lang w:eastAsia="en-US"/>
        </w:rPr>
        <w:t>żadnego</w:t>
      </w:r>
      <w:proofErr w:type="spellEnd"/>
      <w:r w:rsidR="00C2618E" w:rsidRPr="00B114EE">
        <w:rPr>
          <w:rFonts w:asciiTheme="minorHAnsi" w:eastAsiaTheme="minorHAnsi" w:hAnsiTheme="minorHAnsi"/>
          <w:lang w:eastAsia="en-US"/>
        </w:rPr>
        <w:t xml:space="preserve"> wpływu jak np.: wojna, atak terrorystyczny, </w:t>
      </w:r>
      <w:proofErr w:type="spellStart"/>
      <w:r w:rsidR="00C2618E" w:rsidRPr="00B114EE">
        <w:rPr>
          <w:rFonts w:asciiTheme="minorHAnsi" w:eastAsiaTheme="minorHAnsi" w:hAnsiTheme="minorHAnsi"/>
          <w:lang w:eastAsia="en-US"/>
        </w:rPr>
        <w:t>pożar</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powódz</w:t>
      </w:r>
      <w:proofErr w:type="spellEnd"/>
      <w:r w:rsidR="00C2618E" w:rsidRPr="00B114EE">
        <w:rPr>
          <w:rFonts w:asciiTheme="minorHAnsi" w:eastAsiaTheme="minorHAnsi" w:hAnsiTheme="minorHAnsi"/>
          <w:lang w:eastAsia="en-US"/>
        </w:rPr>
        <w:t xml:space="preserve">́, epidemie, </w:t>
      </w:r>
      <w:proofErr w:type="spellStart"/>
      <w:r w:rsidR="00C2618E" w:rsidRPr="00B114EE">
        <w:rPr>
          <w:rFonts w:asciiTheme="minorHAnsi" w:eastAsiaTheme="minorHAnsi" w:hAnsiTheme="minorHAnsi"/>
          <w:lang w:eastAsia="en-US"/>
        </w:rPr>
        <w:t>zarządzenia</w:t>
      </w:r>
      <w:proofErr w:type="spellEnd"/>
      <w:r w:rsidR="00C2618E" w:rsidRPr="00B114EE">
        <w:rPr>
          <w:rFonts w:asciiTheme="minorHAnsi" w:eastAsiaTheme="minorHAnsi" w:hAnsiTheme="minorHAnsi"/>
          <w:lang w:eastAsia="en-US"/>
        </w:rPr>
        <w:t xml:space="preserve"> władz, kolizja drogowa, w której uczestniczy Wykonawca itp. Strona </w:t>
      </w:r>
      <w:proofErr w:type="spellStart"/>
      <w:r w:rsidR="00C2618E" w:rsidRPr="00B114EE">
        <w:rPr>
          <w:rFonts w:asciiTheme="minorHAnsi" w:eastAsiaTheme="minorHAnsi" w:hAnsiTheme="minorHAnsi"/>
          <w:lang w:eastAsia="en-US"/>
        </w:rPr>
        <w:t>powołująca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na </w:t>
      </w:r>
      <w:proofErr w:type="spellStart"/>
      <w:r w:rsidR="00C2618E" w:rsidRPr="00B114EE">
        <w:rPr>
          <w:rFonts w:asciiTheme="minorHAnsi" w:eastAsiaTheme="minorHAnsi" w:hAnsiTheme="minorHAnsi"/>
          <w:lang w:eastAsia="en-US"/>
        </w:rPr>
        <w:t>siłe</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powinna </w:t>
      </w:r>
      <w:proofErr w:type="spellStart"/>
      <w:r w:rsidR="00C2618E" w:rsidRPr="00B114EE">
        <w:rPr>
          <w:rFonts w:asciiTheme="minorHAnsi" w:eastAsiaTheme="minorHAnsi" w:hAnsiTheme="minorHAnsi"/>
          <w:lang w:eastAsia="en-US"/>
        </w:rPr>
        <w:t>zawiadomic</w:t>
      </w:r>
      <w:proofErr w:type="spellEnd"/>
      <w:r w:rsidR="00C2618E" w:rsidRPr="00B114EE">
        <w:rPr>
          <w:rFonts w:asciiTheme="minorHAnsi" w:eastAsiaTheme="minorHAnsi" w:hAnsiTheme="minorHAnsi"/>
          <w:lang w:eastAsia="en-US"/>
        </w:rPr>
        <w:t xml:space="preserve">́ drugą </w:t>
      </w:r>
      <w:proofErr w:type="spellStart"/>
      <w:r w:rsidR="00C2618E" w:rsidRPr="00B114EE">
        <w:rPr>
          <w:rFonts w:asciiTheme="minorHAnsi" w:eastAsiaTheme="minorHAnsi" w:hAnsiTheme="minorHAnsi"/>
          <w:lang w:eastAsia="en-US"/>
        </w:rPr>
        <w:t>strone</w:t>
      </w:r>
      <w:proofErr w:type="spellEnd"/>
      <w:r w:rsidR="00C2618E" w:rsidRPr="00B114EE">
        <w:rPr>
          <w:rFonts w:asciiTheme="minorHAnsi" w:eastAsiaTheme="minorHAnsi" w:hAnsiTheme="minorHAnsi"/>
          <w:lang w:eastAsia="en-US"/>
        </w:rPr>
        <w:t>̨ niezwłocznie (</w:t>
      </w:r>
      <w:proofErr w:type="spellStart"/>
      <w:r w:rsidR="00C2618E" w:rsidRPr="00B114EE">
        <w:rPr>
          <w:rFonts w:asciiTheme="minorHAnsi" w:eastAsiaTheme="minorHAnsi" w:hAnsiTheme="minorHAnsi"/>
          <w:lang w:eastAsia="en-US"/>
        </w:rPr>
        <w:t>korzystając</w:t>
      </w:r>
      <w:proofErr w:type="spellEnd"/>
      <w:r w:rsidR="00C2618E" w:rsidRPr="00B114EE">
        <w:rPr>
          <w:rFonts w:asciiTheme="minorHAnsi" w:eastAsiaTheme="minorHAnsi" w:hAnsiTheme="minorHAnsi"/>
          <w:lang w:eastAsia="en-US"/>
        </w:rPr>
        <w:t xml:space="preserve"> z wszelkich </w:t>
      </w:r>
      <w:proofErr w:type="spellStart"/>
      <w:r w:rsidR="00C2618E" w:rsidRPr="00B114EE">
        <w:rPr>
          <w:rFonts w:asciiTheme="minorHAnsi" w:eastAsiaTheme="minorHAnsi" w:hAnsiTheme="minorHAnsi"/>
          <w:lang w:eastAsia="en-US"/>
        </w:rPr>
        <w:t>dostępnych</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środków</w:t>
      </w:r>
      <w:proofErr w:type="spellEnd"/>
      <w:r w:rsidR="00C2618E" w:rsidRPr="00B114EE">
        <w:rPr>
          <w:rFonts w:asciiTheme="minorHAnsi" w:eastAsiaTheme="minorHAnsi" w:hAnsiTheme="minorHAnsi"/>
          <w:lang w:eastAsia="en-US"/>
        </w:rPr>
        <w:t xml:space="preserve"> komunikacji: telefonicznie, drogą elektroniczną, faksem), jednak nie </w:t>
      </w:r>
      <w:proofErr w:type="spellStart"/>
      <w:r w:rsidR="00C2618E" w:rsidRPr="00B114EE">
        <w:rPr>
          <w:rFonts w:asciiTheme="minorHAnsi" w:eastAsiaTheme="minorHAnsi" w:hAnsiTheme="minorHAnsi"/>
          <w:lang w:eastAsia="en-US"/>
        </w:rPr>
        <w:t>później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niz</w:t>
      </w:r>
      <w:proofErr w:type="spellEnd"/>
      <w:r w:rsidR="00C2618E" w:rsidRPr="00B114EE">
        <w:rPr>
          <w:rFonts w:asciiTheme="minorHAnsi" w:eastAsiaTheme="minorHAnsi" w:hAnsiTheme="minorHAnsi"/>
          <w:lang w:eastAsia="en-US"/>
        </w:rPr>
        <w:t xml:space="preserve">̇ w terminie trzech dni od zaistnienia zdarzenia </w:t>
      </w:r>
      <w:proofErr w:type="spellStart"/>
      <w:r w:rsidR="00C2618E" w:rsidRPr="00B114EE">
        <w:rPr>
          <w:rFonts w:asciiTheme="minorHAnsi" w:eastAsiaTheme="minorHAnsi" w:hAnsiTheme="minorHAnsi"/>
          <w:lang w:eastAsia="en-US"/>
        </w:rPr>
        <w:t>stanowiącego</w:t>
      </w:r>
      <w:proofErr w:type="spellEnd"/>
      <w:r w:rsidR="00C2618E" w:rsidRPr="00B114EE">
        <w:rPr>
          <w:rFonts w:asciiTheme="minorHAnsi" w:eastAsiaTheme="minorHAnsi" w:hAnsiTheme="minorHAnsi"/>
          <w:lang w:eastAsia="en-US"/>
        </w:rPr>
        <w:t xml:space="preserve"> przypadek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 formie pisemnej. Fakt zaistnienia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powinien </w:t>
      </w:r>
      <w:proofErr w:type="spellStart"/>
      <w:r w:rsidR="00C2618E" w:rsidRPr="00B114EE">
        <w:rPr>
          <w:rFonts w:asciiTheme="minorHAnsi" w:eastAsiaTheme="minorHAnsi" w:hAnsiTheme="minorHAnsi"/>
          <w:lang w:eastAsia="en-US"/>
        </w:rPr>
        <w:t>byc</w:t>
      </w:r>
      <w:proofErr w:type="spellEnd"/>
      <w:r w:rsidR="00C2618E" w:rsidRPr="00B114EE">
        <w:rPr>
          <w:rFonts w:asciiTheme="minorHAnsi" w:eastAsiaTheme="minorHAnsi" w:hAnsiTheme="minorHAnsi"/>
          <w:lang w:eastAsia="en-US"/>
        </w:rPr>
        <w:t xml:space="preserve">́ udowodniony dokumentem </w:t>
      </w:r>
      <w:proofErr w:type="spellStart"/>
      <w:r w:rsidR="00C2618E" w:rsidRPr="00B114EE">
        <w:rPr>
          <w:rFonts w:asciiTheme="minorHAnsi" w:eastAsiaTheme="minorHAnsi" w:hAnsiTheme="minorHAnsi"/>
          <w:lang w:eastAsia="en-US"/>
        </w:rPr>
        <w:t>pochodzącym</w:t>
      </w:r>
      <w:proofErr w:type="spellEnd"/>
      <w:r w:rsidR="00C2618E" w:rsidRPr="00B114EE">
        <w:rPr>
          <w:rFonts w:asciiTheme="minorHAnsi" w:eastAsiaTheme="minorHAnsi" w:hAnsiTheme="minorHAnsi"/>
          <w:lang w:eastAsia="en-US"/>
        </w:rPr>
        <w:t xml:space="preserve"> od </w:t>
      </w:r>
      <w:proofErr w:type="spellStart"/>
      <w:r w:rsidR="00C2618E" w:rsidRPr="00B114EE">
        <w:rPr>
          <w:rFonts w:asciiTheme="minorHAnsi" w:eastAsiaTheme="minorHAnsi" w:hAnsiTheme="minorHAnsi"/>
          <w:lang w:eastAsia="en-US"/>
        </w:rPr>
        <w:t>właściwego</w:t>
      </w:r>
      <w:proofErr w:type="spellEnd"/>
      <w:r w:rsidR="00C2618E" w:rsidRPr="00B114EE">
        <w:rPr>
          <w:rFonts w:asciiTheme="minorHAnsi" w:eastAsiaTheme="minorHAnsi" w:hAnsiTheme="minorHAnsi"/>
          <w:lang w:eastAsia="en-US"/>
        </w:rPr>
        <w:t xml:space="preserve"> organu administracji publicznej. </w:t>
      </w:r>
      <w:r w:rsidR="00C2618E" w:rsidRPr="00B114EE">
        <w:rPr>
          <w:rFonts w:ascii="MS Gothic" w:eastAsia="MS Gothic" w:hAnsi="MS Gothic" w:cs="MS Gothic" w:hint="eastAsia"/>
          <w:lang w:eastAsia="en-US"/>
        </w:rPr>
        <w:t> </w:t>
      </w:r>
    </w:p>
    <w:p w:rsidR="00C2618E" w:rsidRPr="00B114EE" w:rsidRDefault="00D07F0C"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Pr>
          <w:rFonts w:asciiTheme="minorHAnsi" w:eastAsiaTheme="minorHAnsi" w:hAnsiTheme="minorHAnsi"/>
          <w:lang w:eastAsia="en-US"/>
        </w:rPr>
        <w:t>7</w:t>
      </w:r>
      <w:r w:rsidR="00C2618E" w:rsidRPr="00B114EE">
        <w:rPr>
          <w:rFonts w:asciiTheme="minorHAnsi" w:eastAsiaTheme="minorHAnsi" w:hAnsiTheme="minorHAnsi"/>
          <w:lang w:eastAsia="en-US"/>
        </w:rPr>
        <w:t xml:space="preserve">.Opóźnienie lub wadliwe wykonanie </w:t>
      </w:r>
      <w:proofErr w:type="spellStart"/>
      <w:r w:rsidR="00C2618E" w:rsidRPr="00B114EE">
        <w:rPr>
          <w:rFonts w:asciiTheme="minorHAnsi" w:eastAsiaTheme="minorHAnsi" w:hAnsiTheme="minorHAnsi"/>
          <w:lang w:eastAsia="en-US"/>
        </w:rPr>
        <w:t>całości</w:t>
      </w:r>
      <w:proofErr w:type="spellEnd"/>
      <w:r w:rsidR="00C2618E" w:rsidRPr="00B114EE">
        <w:rPr>
          <w:rFonts w:asciiTheme="minorHAnsi" w:eastAsiaTheme="minorHAnsi" w:hAnsiTheme="minorHAnsi"/>
          <w:lang w:eastAsia="en-US"/>
        </w:rPr>
        <w:t xml:space="preserve"> lub </w:t>
      </w:r>
      <w:proofErr w:type="spellStart"/>
      <w:r w:rsidR="00C2618E" w:rsidRPr="00B114EE">
        <w:rPr>
          <w:rFonts w:asciiTheme="minorHAnsi" w:eastAsiaTheme="minorHAnsi" w:hAnsiTheme="minorHAnsi"/>
          <w:lang w:eastAsia="en-US"/>
        </w:rPr>
        <w:t>części</w:t>
      </w:r>
      <w:proofErr w:type="spellEnd"/>
      <w:r w:rsidR="00C2618E" w:rsidRPr="00B114EE">
        <w:rPr>
          <w:rFonts w:asciiTheme="minorHAnsi" w:eastAsiaTheme="minorHAnsi" w:hAnsiTheme="minorHAnsi"/>
          <w:lang w:eastAsia="en-US"/>
        </w:rPr>
        <w:t xml:space="preserve"> umowy z powodu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nie stanowi dla strony </w:t>
      </w:r>
      <w:proofErr w:type="spellStart"/>
      <w:r w:rsidR="00C2618E" w:rsidRPr="00B114EE">
        <w:rPr>
          <w:rFonts w:asciiTheme="minorHAnsi" w:eastAsiaTheme="minorHAnsi" w:hAnsiTheme="minorHAnsi"/>
          <w:lang w:eastAsia="en-US"/>
        </w:rPr>
        <w:t>dotkniętej</w:t>
      </w:r>
      <w:proofErr w:type="spellEnd"/>
      <w:r w:rsidR="00C2618E" w:rsidRPr="00B114EE">
        <w:rPr>
          <w:rFonts w:asciiTheme="minorHAnsi" w:eastAsiaTheme="minorHAnsi" w:hAnsiTheme="minorHAnsi"/>
          <w:lang w:eastAsia="en-US"/>
        </w:rPr>
        <w:t xml:space="preserv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naruszenia </w:t>
      </w:r>
      <w:proofErr w:type="spellStart"/>
      <w:r w:rsidR="00C2618E" w:rsidRPr="00B114EE">
        <w:rPr>
          <w:rFonts w:asciiTheme="minorHAnsi" w:eastAsiaTheme="minorHAnsi" w:hAnsiTheme="minorHAnsi"/>
          <w:lang w:eastAsia="en-US"/>
        </w:rPr>
        <w:t>postanowien</w:t>
      </w:r>
      <w:proofErr w:type="spellEnd"/>
      <w:r w:rsidR="00C2618E" w:rsidRPr="00B114EE">
        <w:rPr>
          <w:rFonts w:asciiTheme="minorHAnsi" w:eastAsiaTheme="minorHAnsi" w:hAnsiTheme="minorHAnsi"/>
          <w:lang w:eastAsia="en-US"/>
        </w:rPr>
        <w:t xml:space="preserve">́ umowy. </w:t>
      </w:r>
      <w:r w:rsidR="00C2618E"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DA45F1">
        <w:rPr>
          <w:rFonts w:asciiTheme="minorHAnsi" w:hAnsiTheme="minorHAnsi" w:cs="Arial"/>
        </w:rPr>
        <w:t>ztowe (Dz. U. z 2018 r., poz. 2188</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i wewnętrznymi regulaminami Wykonawcy, wydanym na podstawie obowiązujących przepisów prawa, o ile regulaminy te nie pozostają w sprzeczności z postanowieniami niniejszej umowy 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 rozumieniu ustawy z dnia 16 kwietnia 1993 r.,  o zwalczaniu nieuczciwej konkurencji (Dz. U. z 2003 r. Nr 153 poz. 1503 z </w:t>
      </w:r>
      <w:proofErr w:type="spellStart"/>
      <w:r w:rsidRPr="000E339C">
        <w:rPr>
          <w:rFonts w:asciiTheme="minorHAnsi" w:hAnsiTheme="minorHAnsi" w:cs="Arial"/>
        </w:rPr>
        <w:t>późn</w:t>
      </w:r>
      <w:proofErr w:type="spellEnd"/>
      <w:r w:rsidRPr="000E339C">
        <w:rPr>
          <w:rFonts w:asciiTheme="minorHAnsi" w:hAnsiTheme="minorHAnsi" w:cs="Arial"/>
        </w:rPr>
        <w:t>. zm.) i nie mogą być ujawnione w jakiejkolwiek postaci osobom trzecim przez żadną ze Stron.</w:t>
      </w:r>
    </w:p>
    <w:p w:rsidR="00E33567" w:rsidRPr="000E339C" w:rsidRDefault="00E33567" w:rsidP="00E33567">
      <w:pPr>
        <w:jc w:val="both"/>
        <w:rPr>
          <w:rFonts w:asciiTheme="minorHAnsi" w:hAnsiTheme="minorHAnsi" w:cs="Arial"/>
        </w:rPr>
      </w:pPr>
    </w:p>
    <w:p w:rsidR="00E33567" w:rsidRDefault="00E33567" w:rsidP="00E33567">
      <w:pPr>
        <w:jc w:val="both"/>
        <w:rPr>
          <w:rFonts w:asciiTheme="minorHAnsi" w:hAnsiTheme="minorHAnsi" w:cs="Arial"/>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…………………………………………………..…….)z tego</w:t>
      </w:r>
      <w:r w:rsidR="008A5069">
        <w:rPr>
          <w:rFonts w:asciiTheme="minorHAnsi" w:hAnsiTheme="minorHAnsi" w:cs="Arial"/>
        </w:rPr>
        <w:t xml:space="preserve"> płatne</w:t>
      </w:r>
      <w:r w:rsidR="00F841D6">
        <w:rPr>
          <w:rFonts w:asciiTheme="minorHAnsi" w:hAnsiTheme="minorHAnsi" w:cs="Arial"/>
        </w:rPr>
        <w:t>:</w:t>
      </w:r>
    </w:p>
    <w:p w:rsidR="00F841D6" w:rsidRDefault="00F841D6" w:rsidP="00F841D6">
      <w:pPr>
        <w:pStyle w:val="Akapitzlist"/>
        <w:numPr>
          <w:ilvl w:val="0"/>
          <w:numId w:val="46"/>
        </w:numPr>
        <w:jc w:val="both"/>
        <w:rPr>
          <w:rFonts w:asciiTheme="minorHAnsi" w:hAnsiTheme="minorHAnsi" w:cs="Arial"/>
        </w:rPr>
      </w:pPr>
      <w:r>
        <w:rPr>
          <w:rFonts w:asciiTheme="minorHAnsi" w:hAnsiTheme="minorHAnsi" w:cs="Arial"/>
        </w:rPr>
        <w:t>w 2019 roku - …………………………….brutto (słownie: ………….),</w:t>
      </w:r>
    </w:p>
    <w:p w:rsidR="00F841D6" w:rsidRPr="00F841D6" w:rsidRDefault="00F841D6" w:rsidP="00F841D6">
      <w:pPr>
        <w:pStyle w:val="Akapitzlist"/>
        <w:numPr>
          <w:ilvl w:val="0"/>
          <w:numId w:val="46"/>
        </w:numPr>
        <w:jc w:val="both"/>
        <w:rPr>
          <w:rFonts w:asciiTheme="minorHAnsi" w:hAnsiTheme="minorHAnsi" w:cs="Arial"/>
        </w:rPr>
      </w:pPr>
      <w:r>
        <w:rPr>
          <w:rFonts w:asciiTheme="minorHAnsi" w:hAnsiTheme="minorHAnsi" w:cs="Arial"/>
        </w:rPr>
        <w:t>w 2020 roku - …………………………….brutto (słownie: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Zamawiający zastrzega sobie prawo zmniejszenia maksymalnego zobowiązania w przypadku zaistnienia okoliczności wskazujących na niewykorzystanie wszystkich zaangażowanych środków finansowych do końca okresu obowiązywania umowy. Zamawiający zastrzega sobie </w:t>
      </w:r>
      <w:r w:rsidRPr="000E339C">
        <w:rPr>
          <w:rFonts w:asciiTheme="minorHAnsi" w:hAnsiTheme="minorHAnsi" w:cs="Arial"/>
        </w:rPr>
        <w:lastRenderedPageBreak/>
        <w:t>prawo zmniejszenia maksymalnego zobowiązania, w związku nadawaniem przesyłek 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do stosowania cen jednostkowych brutto podanych 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Pr="000E339C"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przesyłane na adres e-mail: faktury@ug.police.pl</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 przypadku nienależnego wykonania przez Wykonawcę przedmiotu umowy Zamawiający zastrzega sobie prawo wypowiedzenia umowy ze skutkiem natychmiastowym, co nie zwalnia Wykonawcy z obowiązków, o których mowa w ust. 1.</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Wykonawca zapłaci Zamawiającemu karę umowną w wysokości 1 % wartości brutto umowy określonej w § 5 ust. 1, w przypadku rozwiązania umowy z przyczyn leżących po stronie Wykonawcy. </w:t>
      </w:r>
    </w:p>
    <w:p w:rsidR="00D07F0C" w:rsidRPr="00D07F0C" w:rsidRDefault="00D07F0C" w:rsidP="00D07F0C">
      <w:pPr>
        <w:pStyle w:val="Akapitzlist"/>
        <w:numPr>
          <w:ilvl w:val="0"/>
          <w:numId w:val="40"/>
        </w:numPr>
        <w:rPr>
          <w:rFonts w:asciiTheme="minorHAnsi" w:hAnsiTheme="minorHAnsi" w:cs="Arial"/>
        </w:rPr>
      </w:pPr>
      <w:r w:rsidRPr="00D07F0C">
        <w:rPr>
          <w:rFonts w:asciiTheme="minorHAnsi" w:hAnsiTheme="minorHAnsi" w:cs="Arial"/>
        </w:rPr>
        <w:t xml:space="preserve"> </w:t>
      </w:r>
      <w:r w:rsidR="00E33567" w:rsidRPr="00D07F0C">
        <w:rPr>
          <w:rFonts w:asciiTheme="minorHAnsi" w:hAnsiTheme="minorHAnsi" w:cs="Arial"/>
        </w:rPr>
        <w:t xml:space="preserve"> </w:t>
      </w:r>
      <w:r>
        <w:rPr>
          <w:rFonts w:asciiTheme="minorHAnsi" w:hAnsiTheme="minorHAnsi" w:cs="Arial"/>
        </w:rPr>
        <w:t>Zamawiający zapłaci Wykonawcy</w:t>
      </w:r>
      <w:r w:rsidRPr="00D07F0C">
        <w:rPr>
          <w:rFonts w:asciiTheme="minorHAnsi" w:hAnsiTheme="minorHAnsi" w:cs="Arial"/>
        </w:rPr>
        <w:t xml:space="preserve"> karę umowną w wysokości 1 % wartości brutto umowy określonej w § 5 ust. 1, w przypadku rozwiązania umowy z przycz</w:t>
      </w:r>
      <w:r w:rsidR="00F0021C">
        <w:rPr>
          <w:rFonts w:asciiTheme="minorHAnsi" w:hAnsiTheme="minorHAnsi" w:cs="Arial"/>
        </w:rPr>
        <w:t>yn leżących po stronie Zamawiają</w:t>
      </w:r>
      <w:r>
        <w:rPr>
          <w:rFonts w:asciiTheme="minorHAnsi" w:hAnsiTheme="minorHAnsi" w:cs="Arial"/>
        </w:rPr>
        <w:t>cego</w:t>
      </w:r>
      <w:r w:rsidRPr="00D07F0C">
        <w:rPr>
          <w:rFonts w:asciiTheme="minorHAnsi" w:hAnsiTheme="minorHAnsi" w:cs="Arial"/>
        </w:rPr>
        <w:t xml:space="preserve">.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Wykonawca zapłaci karę umowną na konto Zamawiającego w terminie 7 dni od daty doręczenia pisemnego wezwania z określoną przez Zamawiającego wysokością kary. W przypadku wypłaty odszkodowań, o których mowa w ust. 1 stosuje się p</w:t>
      </w:r>
      <w:r w:rsidR="004E2171">
        <w:rPr>
          <w:rFonts w:asciiTheme="minorHAnsi" w:hAnsiTheme="minorHAnsi" w:cs="Arial"/>
        </w:rPr>
        <w:t xml:space="preserve">rzepisy ustawy </w:t>
      </w:r>
      <w:proofErr w:type="spellStart"/>
      <w:r w:rsidR="004E2171">
        <w:rPr>
          <w:rFonts w:asciiTheme="minorHAnsi" w:hAnsiTheme="minorHAnsi" w:cs="Arial"/>
        </w:rPr>
        <w:t>Pp</w:t>
      </w:r>
      <w:proofErr w:type="spellEnd"/>
      <w:r w:rsidR="004E2171">
        <w:rPr>
          <w:rFonts w:asciiTheme="minorHAnsi" w:hAnsiTheme="minorHAnsi" w:cs="Arial"/>
        </w:rPr>
        <w:t xml:space="preserve"> oraz Obwieszczenia Ministra Infrastruktury z dnia 08 lutego 2018 r. w sprawie ogłoszenia </w:t>
      </w:r>
      <w:proofErr w:type="spellStart"/>
      <w:r w:rsidR="004E2171">
        <w:rPr>
          <w:rFonts w:asciiTheme="minorHAnsi" w:hAnsiTheme="minorHAnsi" w:cs="Arial"/>
        </w:rPr>
        <w:t>jt</w:t>
      </w:r>
      <w:proofErr w:type="spellEnd"/>
      <w:r w:rsidR="004E2171">
        <w:rPr>
          <w:rFonts w:asciiTheme="minorHAnsi" w:hAnsiTheme="minorHAnsi" w:cs="Arial"/>
        </w:rPr>
        <w:t xml:space="preserve">.  </w:t>
      </w:r>
      <w:r w:rsidRPr="000E339C">
        <w:rPr>
          <w:rFonts w:asciiTheme="minorHAnsi" w:hAnsiTheme="minorHAnsi" w:cs="Arial"/>
        </w:rPr>
        <w:t xml:space="preserve">rozporządzenia Ministra Administracji i Cyfryzacji </w:t>
      </w:r>
      <w:r w:rsidR="004E2171">
        <w:rPr>
          <w:rFonts w:asciiTheme="minorHAnsi" w:hAnsiTheme="minorHAnsi" w:cs="Arial"/>
        </w:rPr>
        <w:t>w sprawie reklamacji pocztowej.</w:t>
      </w:r>
    </w:p>
    <w:p w:rsidR="00E33567" w:rsidRPr="000E339C" w:rsidRDefault="00DA02AB" w:rsidP="00A21D0E">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W przypadku, gdy Zamawiają</w:t>
      </w:r>
      <w:r w:rsidR="0019571A">
        <w:rPr>
          <w:rFonts w:asciiTheme="minorHAnsi" w:hAnsiTheme="minorHAnsi" w:cs="Arial"/>
        </w:rPr>
        <w:t xml:space="preserve">cy poniósł z w/w </w:t>
      </w:r>
      <w:r>
        <w:rPr>
          <w:rFonts w:asciiTheme="minorHAnsi" w:hAnsiTheme="minorHAnsi" w:cs="Arial"/>
        </w:rPr>
        <w:t>przyczyn szkodę przekraczającą wysokość odszkodowania, roszczeń, o których mowa w ust. 1 lub kary umownej, może on dochodzić odszkodowania za szkodę w pełnej wysokości od Wykonawcy na zasadach ogólnych</w:t>
      </w:r>
      <w:r w:rsidR="00E33567" w:rsidRPr="000E339C">
        <w:rPr>
          <w:rFonts w:asciiTheme="minorHAnsi" w:hAnsiTheme="minorHAnsi" w:cs="Arial"/>
        </w:rPr>
        <w:t>.</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9.</w:t>
      </w:r>
      <w:r w:rsidRPr="000E339C">
        <w:rPr>
          <w:rFonts w:asciiTheme="minorHAnsi" w:hAnsiTheme="minorHAnsi" w:cs="Arial"/>
        </w:rPr>
        <w:t xml:space="preserve"> 1. Umowa zostaje zaw</w:t>
      </w:r>
      <w:r w:rsidR="0059231D">
        <w:rPr>
          <w:rFonts w:asciiTheme="minorHAnsi" w:hAnsiTheme="minorHAnsi" w:cs="Arial"/>
        </w:rPr>
        <w:t xml:space="preserve">arta na okres od dnia 01.01.2019 r. do dnia 31.12.2019 </w:t>
      </w:r>
      <w:r w:rsidRPr="000E339C">
        <w:rPr>
          <w:rFonts w:asciiTheme="minorHAnsi" w:hAnsiTheme="minorHAnsi" w:cs="Arial"/>
        </w:rPr>
        <w:t>r.</w:t>
      </w:r>
    </w:p>
    <w:p w:rsidR="00E33567" w:rsidRPr="000E339C" w:rsidRDefault="00E33567" w:rsidP="00A21D0E">
      <w:pPr>
        <w:pStyle w:val="Akapitzlist"/>
        <w:numPr>
          <w:ilvl w:val="0"/>
          <w:numId w:val="41"/>
        </w:numPr>
        <w:spacing w:line="276" w:lineRule="auto"/>
        <w:contextualSpacing/>
        <w:jc w:val="both"/>
        <w:rPr>
          <w:rFonts w:asciiTheme="minorHAnsi" w:hAnsiTheme="minorHAnsi" w:cs="Arial"/>
        </w:rPr>
      </w:pPr>
      <w:r w:rsidRPr="000E339C">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12. </w:t>
      </w:r>
      <w:r w:rsidRPr="000E339C">
        <w:rPr>
          <w:rFonts w:asciiTheme="minorHAnsi" w:hAnsiTheme="minorHAnsi" w:cs="Arial"/>
        </w:rPr>
        <w:t>Zamawiający dopuszcza zmiany w umowie w stosunku do treści oferty polegające zmniejszeniu maksymalnego zobowiązania Zamawiającego wynikającego  z umowy, w związku nadawaniem przesyłek u operatora wyznaczonego, w sytuacjach, o których mowa powyżej.</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 xml:space="preserve">Kodeksu Cywilnego (Dz. U. z 2018 r. poz. 1025 </w:t>
      </w:r>
      <w:r w:rsidR="00E33567" w:rsidRPr="000E339C">
        <w:rPr>
          <w:rFonts w:asciiTheme="minorHAnsi" w:hAnsiTheme="minorHAnsi" w:cs="Arial"/>
        </w:rPr>
        <w:t xml:space="preserve">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2E1AA3" w:rsidRPr="000E339C">
        <w:rPr>
          <w:rFonts w:asciiTheme="minorHAnsi" w:hAnsiTheme="minorHAnsi" w:cs="Arial"/>
        </w:rPr>
        <w:t>e od dnia 01.01.2019 r. do dnia 31.12.2019</w:t>
      </w:r>
      <w:r w:rsidRPr="000E339C">
        <w:rPr>
          <w:rFonts w:asciiTheme="minorHAnsi" w:hAnsiTheme="minorHAnsi" w:cs="Arial"/>
        </w:rPr>
        <w:t xml:space="preserve"> r. z zastrzeżeniem opisanym w § 9 ust. 2 wzoru umowy.</w:t>
      </w:r>
    </w:p>
    <w:p w:rsidR="00E33567" w:rsidRPr="00EB3DD4" w:rsidRDefault="00EB3DD4" w:rsidP="00EB3DD4">
      <w:pPr>
        <w:spacing w:line="276" w:lineRule="auto"/>
        <w:ind w:left="360"/>
        <w:contextualSpacing/>
        <w:jc w:val="both"/>
        <w:rPr>
          <w:rFonts w:asciiTheme="minorHAnsi" w:hAnsiTheme="minorHAnsi" w:cs="Arial"/>
        </w:rPr>
      </w:pPr>
      <w:r>
        <w:rPr>
          <w:rFonts w:asciiTheme="minorHAnsi" w:hAnsiTheme="minorHAnsi" w:cs="Arial"/>
        </w:rPr>
        <w:t>19.</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EB3DD4" w:rsidRDefault="00E33567" w:rsidP="00EB3DD4">
      <w:pPr>
        <w:pStyle w:val="Akapitzlist"/>
        <w:numPr>
          <w:ilvl w:val="0"/>
          <w:numId w:val="47"/>
        </w:numPr>
        <w:spacing w:line="276" w:lineRule="auto"/>
        <w:contextualSpacing/>
        <w:jc w:val="both"/>
        <w:rPr>
          <w:rFonts w:asciiTheme="minorHAnsi" w:hAnsiTheme="minorHAnsi" w:cs="Arial"/>
        </w:rPr>
      </w:pPr>
      <w:r w:rsidRPr="00EB3DD4">
        <w:rPr>
          <w:rFonts w:asciiTheme="minorHAnsi" w:hAnsiTheme="minorHAnsi" w:cs="Arial"/>
        </w:rPr>
        <w:t>Przez przesyłki pocztowe, będące przedmiotem zamówienia rozumie się przesyłki listowe o wadze do 2000 g (gabaryt A i B):</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w:t>
      </w:r>
      <w:r w:rsidR="002E1AA3" w:rsidRPr="000E339C">
        <w:rPr>
          <w:rFonts w:asciiTheme="minorHAnsi" w:hAnsiTheme="minorHAnsi" w:cs="Arial"/>
        </w:rPr>
        <w:t>-</w:t>
      </w:r>
      <w:r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przekraczać wysokości 20 mm, długości 325 mm, szerokości 230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wysokość 20 mm lub długość 325 mm, szerokość 230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szerokości i wysokości nie może być większa niż 900 mm, przy czym największy z tych wymiarów (długość) nie może przekroczyć 600 mm.</w:t>
      </w:r>
    </w:p>
    <w:p w:rsidR="00E33567" w:rsidRPr="000E339C" w:rsidRDefault="00E33567" w:rsidP="00E33567">
      <w:pPr>
        <w:jc w:val="both"/>
        <w:rPr>
          <w:rFonts w:asciiTheme="minorHAnsi" w:hAnsiTheme="minorHAnsi" w:cs="Arial"/>
        </w:rPr>
      </w:pPr>
    </w:p>
    <w:p w:rsidR="00E33567" w:rsidRPr="00EB3DD4" w:rsidRDefault="00EB3DD4" w:rsidP="00EB3DD4">
      <w:pPr>
        <w:spacing w:line="276" w:lineRule="auto"/>
        <w:ind w:left="360"/>
        <w:contextualSpacing/>
        <w:jc w:val="both"/>
        <w:rPr>
          <w:rFonts w:asciiTheme="minorHAnsi" w:hAnsiTheme="minorHAnsi" w:cs="Arial"/>
        </w:rPr>
      </w:pPr>
      <w:r>
        <w:rPr>
          <w:rFonts w:asciiTheme="minorHAnsi" w:hAnsiTheme="minorHAnsi" w:cs="Arial"/>
        </w:rPr>
        <w:lastRenderedPageBreak/>
        <w:t>21.</w:t>
      </w:r>
      <w:r w:rsidR="00E33567" w:rsidRPr="00EB3DD4">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EB3DD4" w:rsidRDefault="00E33567" w:rsidP="00EB3DD4">
      <w:pPr>
        <w:pStyle w:val="Akapitzlist"/>
        <w:numPr>
          <w:ilvl w:val="0"/>
          <w:numId w:val="48"/>
        </w:numPr>
        <w:spacing w:line="276" w:lineRule="auto"/>
        <w:contextualSpacing/>
        <w:jc w:val="both"/>
        <w:rPr>
          <w:rFonts w:asciiTheme="minorHAnsi" w:hAnsiTheme="minorHAnsi" w:cs="Arial"/>
        </w:rPr>
      </w:pPr>
      <w:r w:rsidRPr="00EB3DD4">
        <w:rPr>
          <w:rFonts w:asciiTheme="minorHAnsi" w:hAnsiTheme="minorHAnsi" w:cs="Arial"/>
        </w:rPr>
        <w:t>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w:t>
      </w:r>
      <w:r w:rsidRPr="00EB3DD4">
        <w:rPr>
          <w:rFonts w:asciiTheme="minorHAnsi" w:eastAsia="Calibri" w:hAnsiTheme="minorHAnsi" w:cs="Arial"/>
          <w:b/>
        </w:rPr>
        <w:t xml:space="preserve"> </w:t>
      </w:r>
      <w:r w:rsidRPr="00EB3DD4">
        <w:rPr>
          <w:rFonts w:asciiTheme="minorHAnsi" w:eastAsia="Calibri" w:hAnsiTheme="minorHAnsi" w:cs="Arial"/>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EB3DD4">
        <w:rPr>
          <w:rFonts w:asciiTheme="minorHAnsi" w:eastAsia="Calibri" w:hAnsiTheme="minorHAnsi" w:cs="Arial"/>
          <w:b/>
        </w:rPr>
        <w:t xml:space="preserve"> </w:t>
      </w:r>
      <w:r w:rsidRPr="00EB3DD4">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Zamawiający nie dopuszcza sytuacji, w której część przesyłek zostanie nadana przez inny podmiot na rzecz i w imieniu Zamawiającego, w wyniku czego na dowodzie </w:t>
      </w:r>
      <w:r w:rsidRPr="000E339C">
        <w:rPr>
          <w:rFonts w:asciiTheme="minorHAnsi" w:hAnsiTheme="minorHAnsi" w:cs="Arial"/>
        </w:rPr>
        <w:lastRenderedPageBreak/>
        <w:t>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Wzory pocztowej książki nadawczej oraz zestawienia ilościowo </w:t>
      </w:r>
      <w:r w:rsidRPr="000E339C">
        <w:rPr>
          <w:rFonts w:asciiTheme="minorHAnsi" w:hAnsiTheme="minorHAnsi" w:cs="Cambria Math"/>
        </w:rPr>
        <w:t>‐</w:t>
      </w:r>
      <w:r w:rsidRPr="000E339C">
        <w:rPr>
          <w:rFonts w:asciiTheme="minorHAnsi" w:hAnsiTheme="minorHAnsi" w:cs="Arial"/>
        </w:rPr>
        <w:t>wartościowego zostaną uzgodnione z Wykonawcą.</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Zamawiającego, o której mowa w pkt 5 pokwitowane przez adresata „potwierdzenie odbioru” niezwłocznie po dokonaniu doręczenia przesyłki.</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8E319E"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8E319E" w:rsidRPr="000E339C">
        <w:rPr>
          <w:rFonts w:asciiTheme="minorHAnsi" w:hAnsiTheme="minorHAnsi" w:cs="Arial"/>
        </w:rPr>
        <w:t>dynacja podatkowa (Dz. U. z 2018</w:t>
      </w:r>
      <w:r w:rsidRPr="000E339C">
        <w:rPr>
          <w:rFonts w:asciiTheme="minorHAnsi" w:hAnsiTheme="minorHAnsi" w:cs="Arial"/>
        </w:rPr>
        <w:t xml:space="preserve"> r. p</w:t>
      </w:r>
      <w:r w:rsidR="008E319E" w:rsidRPr="000E339C">
        <w:rPr>
          <w:rFonts w:asciiTheme="minorHAnsi" w:hAnsiTheme="minorHAnsi" w:cs="Arial"/>
        </w:rPr>
        <w:t>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621D04">
        <w:rPr>
          <w:rFonts w:asciiTheme="minorHAnsi" w:hAnsiTheme="minorHAnsi" w:cs="Arial"/>
        </w:rPr>
        <w:t>administracyjnego (Dz. U. z 2018 r. poz. 2096</w:t>
      </w:r>
      <w:r w:rsidRPr="000E339C">
        <w:rPr>
          <w:rFonts w:asciiTheme="minorHAnsi" w:hAnsiTheme="minorHAnsi" w:cs="Arial"/>
        </w:rPr>
        <w:t>).</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adres Zamawiającego podany w pkt 5.</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E33567" w:rsidP="00E33567">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xml:space="preserve">, art. 57 § 5 pkt 2 ustawy – Kodeks postępowania administracyjnego (termin uważa się za zachowany, jeżeli przed jego upływem pismo zostało nadane w polskiej placówce pocztowej operatora wyznaczonego), art. 165 § 2 </w:t>
      </w:r>
      <w:r w:rsidRPr="000E339C">
        <w:rPr>
          <w:rFonts w:asciiTheme="minorHAnsi" w:hAnsiTheme="minorHAnsi" w:cs="Arial"/>
        </w:rPr>
        <w:lastRenderedPageBreak/>
        <w:t>– Kodeks postę</w:t>
      </w:r>
      <w:r w:rsidR="00AE63D0">
        <w:rPr>
          <w:rFonts w:asciiTheme="minorHAnsi" w:hAnsiTheme="minorHAnsi" w:cs="Arial"/>
        </w:rPr>
        <w:t>powania cywilnego (Dz. U. z 2018 r., poz. 1360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w:t>
      </w:r>
      <w:r w:rsidR="00AE63D0">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powyższe będzie dotyczyło około 2000 (słownie: dwa tysiące) przesyłek w skali roku.”.</w:t>
      </w:r>
    </w:p>
    <w:p w:rsidR="00E33567" w:rsidRPr="00EB3DD4" w:rsidRDefault="00E33567" w:rsidP="00E33567">
      <w:pPr>
        <w:pStyle w:val="Akapitzlist"/>
        <w:numPr>
          <w:ilvl w:val="0"/>
          <w:numId w:val="48"/>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 formularzu    asortymentowo cenowym nr 1 i 2 Zamawiający będzie regulował należności zgodnie z cennikiem Wykonawcy obowiązującym w dniu nadania przesyłek.</w:t>
      </w:r>
    </w:p>
    <w:p w:rsidR="00E33567" w:rsidRPr="000E339C" w:rsidRDefault="00E33567" w:rsidP="00E33567">
      <w:pPr>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oświadczam(my), że wykonawca, którego reprezentuję(jemy) zapewni usługę w minimum 6 placówkach pocztowych na terenie Gminy Police na osiedlach wskazanych poniżej oraz, że 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 xml:space="preserve">(podpis(y) osób uprawnionych do reprezentacji wykonawcy, w </w:t>
      </w:r>
    </w:p>
    <w:p w:rsidR="00AE63D0" w:rsidRDefault="00AE63D0"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F0021C" w:rsidRDefault="00A87B56" w:rsidP="00A87B56">
      <w:pPr>
        <w:spacing w:before="100" w:beforeAutospacing="1" w:after="100" w:afterAutospacing="1"/>
        <w:jc w:val="right"/>
        <w:rPr>
          <w:rFonts w:asciiTheme="minorHAnsi" w:hAnsiTheme="minorHAnsi"/>
        </w:rPr>
      </w:pPr>
      <w:r w:rsidRPr="00F0021C">
        <w:rPr>
          <w:rFonts w:asciiTheme="minorHAnsi" w:hAnsiTheme="minorHAnsi"/>
        </w:rPr>
        <w:lastRenderedPageBreak/>
        <w:t>Załącznik nr 7 do SIWZ</w:t>
      </w:r>
    </w:p>
    <w:p w:rsidR="00A87B56" w:rsidRPr="00F0021C" w:rsidRDefault="00A87B56" w:rsidP="00A87B56">
      <w:pPr>
        <w:spacing w:before="100" w:beforeAutospacing="1" w:after="100" w:afterAutospacing="1"/>
        <w:rPr>
          <w:rFonts w:asciiTheme="minorHAnsi" w:hAnsiTheme="minorHAnsi"/>
        </w:rPr>
      </w:pPr>
      <w:r w:rsidRPr="00F0021C">
        <w:rPr>
          <w:rFonts w:asciiTheme="minorHAnsi" w:hAnsiTheme="minorHAnsi"/>
        </w:rPr>
        <w:t>Zgodnie z art. 13 ogólnego rozporządzenia o ochronie danych osobowych z dnia 27 kwietnia 2016 (RODO) informujemy, że:</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Administratorem Pani/Pana danych osobowych jest:</w:t>
      </w:r>
      <w:r w:rsidRPr="00F0021C">
        <w:rPr>
          <w:rFonts w:asciiTheme="minorHAnsi" w:hAnsiTheme="minorHAnsi"/>
        </w:rPr>
        <w:br/>
      </w:r>
      <w:r w:rsidRPr="00F0021C">
        <w:rPr>
          <w:rFonts w:asciiTheme="minorHAnsi" w:hAnsiTheme="minorHAnsi"/>
          <w:b/>
          <w:bCs/>
        </w:rPr>
        <w:t xml:space="preserve">Burmistrz Polic </w:t>
      </w:r>
      <w:r w:rsidRPr="00F0021C">
        <w:rPr>
          <w:rFonts w:asciiTheme="minorHAnsi" w:hAnsiTheme="minorHAnsi"/>
          <w:b/>
          <w:bCs/>
        </w:rPr>
        <w:br/>
        <w:t>72-010 Police</w:t>
      </w:r>
      <w:r w:rsidRPr="00F0021C">
        <w:rPr>
          <w:rFonts w:asciiTheme="minorHAnsi" w:hAnsiTheme="minorHAnsi"/>
          <w:b/>
          <w:bCs/>
        </w:rPr>
        <w:br/>
        <w:t>ul. Stefana Batorego 3.</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 xml:space="preserve">Dane kontaktowe do inspektora ochrony danych: </w:t>
      </w:r>
      <w:r w:rsidRPr="00F0021C">
        <w:rPr>
          <w:rFonts w:asciiTheme="minorHAnsi" w:hAnsiTheme="minorHAnsi"/>
        </w:rPr>
        <w:br/>
        <w:t xml:space="preserve">Krzysztof </w:t>
      </w:r>
      <w:proofErr w:type="spellStart"/>
      <w:r w:rsidRPr="00F0021C">
        <w:rPr>
          <w:rFonts w:asciiTheme="minorHAnsi" w:hAnsiTheme="minorHAnsi"/>
        </w:rPr>
        <w:t>Małodobry</w:t>
      </w:r>
      <w:proofErr w:type="spellEnd"/>
      <w:r w:rsidRPr="00F0021C">
        <w:rPr>
          <w:rFonts w:asciiTheme="minorHAnsi" w:hAnsiTheme="minorHAnsi"/>
        </w:rPr>
        <w:t xml:space="preserve">, mail: </w:t>
      </w:r>
      <w:hyperlink r:id="rId7" w:history="1">
        <w:r w:rsidRPr="00F0021C">
          <w:rPr>
            <w:rFonts w:asciiTheme="minorHAnsi" w:hAnsiTheme="minorHAnsi"/>
            <w:color w:val="0000FF"/>
            <w:u w:val="single"/>
          </w:rPr>
          <w:t>iod@police.pl</w:t>
        </w:r>
      </w:hyperlink>
      <w:r w:rsidRPr="00F0021C">
        <w:rPr>
          <w:rFonts w:asciiTheme="minorHAnsi" w:hAnsiTheme="minorHAnsi"/>
        </w:rPr>
        <w:t>,  tel. 91 4311830.</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Pani/Pana dane osobowe mogą być udostępniane zgodnie z prawem osobom fizycznym lub prawnym, jednostkom i innym podmiotom uczestniczącym w realizowaniu zadań gminy.  </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Pani/Pana dane osobowe będą przetwarzane przez okres wynikający z ustawowo wymaganego okresu utrzymania danych, w innym przypadku nie będą przetwarzane po ustaniu celu przetwarzania.</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Przysługuje Pani/Panu prawo dostępu do swoich danych osobowych, sprostowania, usunięcia, ograniczenia przetwarzania, prawo do wniesienia sprzeciwu, oraz prawo do przenoszenia danych w  przypadkach określonych w  przepisach RODO.</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Przysługuje Pani/Panu prawo do wniesienia skargi do organu nadzorczego – Prezesa Urzędu Ochrony Danych Osobowych.</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Podanie przez Panią/Panią danych osobowych jest</w:t>
      </w:r>
      <w:r w:rsidRPr="00F0021C">
        <w:rPr>
          <w:rFonts w:asciiTheme="minorHAnsi" w:hAnsiTheme="minorHAnsi"/>
          <w:i/>
          <w:iCs/>
        </w:rPr>
        <w:t xml:space="preserve"> </w:t>
      </w:r>
      <w:r w:rsidRPr="00F0021C">
        <w:rPr>
          <w:rFonts w:asciiTheme="minorHAnsi" w:hAnsiTheme="minorHAnsi"/>
        </w:rPr>
        <w:t>wymogiem ustawowym. Jest Pani/Pan zobowiązana/</w:t>
      </w:r>
      <w:proofErr w:type="spellStart"/>
      <w:r w:rsidRPr="00F0021C">
        <w:rPr>
          <w:rFonts w:asciiTheme="minorHAnsi" w:hAnsiTheme="minorHAnsi"/>
        </w:rPr>
        <w:t>ny</w:t>
      </w:r>
      <w:proofErr w:type="spellEnd"/>
      <w:r w:rsidRPr="00F0021C">
        <w:rPr>
          <w:rFonts w:asciiTheme="minorHAnsi" w:hAnsiTheme="minorHAnsi"/>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F0021C" w:rsidRDefault="00A87B56" w:rsidP="00A87B56">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Pana/Pani dane nie będą przetwarzane w procesie zautomatyzowanego podejmowania decyzji ani procesie profilowania.</w:t>
      </w:r>
    </w:p>
    <w:p w:rsidR="00A87B56" w:rsidRPr="00F0021C" w:rsidRDefault="00A87B56" w:rsidP="00A87B56">
      <w:pPr>
        <w:spacing w:after="200" w:line="276" w:lineRule="auto"/>
        <w:rPr>
          <w:rFonts w:asciiTheme="minorHAnsi" w:eastAsiaTheme="minorHAnsi" w:hAnsiTheme="minorHAnsi" w:cstheme="minorBidi"/>
          <w:sz w:val="22"/>
          <w:szCs w:val="22"/>
          <w:lang w:eastAsia="en-US"/>
        </w:rPr>
      </w:pPr>
    </w:p>
    <w:p w:rsidR="00A87B56" w:rsidRPr="00AE63D0" w:rsidRDefault="00A87B56" w:rsidP="004E2171">
      <w:pPr>
        <w:tabs>
          <w:tab w:val="left" w:pos="8060"/>
        </w:tabs>
        <w:spacing w:line="276" w:lineRule="auto"/>
        <w:rPr>
          <w:rFonts w:asciiTheme="minorHAnsi" w:hAnsiTheme="minorHAnsi" w:cs="Arial"/>
          <w:b/>
          <w:color w:val="000000" w:themeColor="text1"/>
        </w:rPr>
      </w:pPr>
      <w:bookmarkStart w:id="10" w:name="_GoBack"/>
      <w:bookmarkEnd w:id="10"/>
    </w:p>
    <w:sectPr w:rsidR="00A87B56" w:rsidRPr="00AE63D0"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6">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8">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5">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5">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2">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3">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num>
  <w:num w:numId="5">
    <w:abstractNumId w:val="10"/>
  </w:num>
  <w:num w:numId="6">
    <w:abstractNumId w:val="32"/>
  </w:num>
  <w:num w:numId="7">
    <w:abstractNumId w:val="39"/>
  </w:num>
  <w:num w:numId="8">
    <w:abstractNumId w:val="40"/>
  </w:num>
  <w:num w:numId="9">
    <w:abstractNumId w:val="48"/>
  </w:num>
  <w:num w:numId="10">
    <w:abstractNumId w:val="1"/>
  </w:num>
  <w:num w:numId="11">
    <w:abstractNumId w:val="45"/>
  </w:num>
  <w:num w:numId="12">
    <w:abstractNumId w:val="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0"/>
  </w:num>
  <w:num w:numId="18">
    <w:abstractNumId w:val="25"/>
  </w:num>
  <w:num w:numId="19">
    <w:abstractNumId w:val="5"/>
  </w:num>
  <w:num w:numId="20">
    <w:abstractNumId w:val="27"/>
  </w:num>
  <w:num w:numId="21">
    <w:abstractNumId w:val="37"/>
  </w:num>
  <w:num w:numId="22">
    <w:abstractNumId w:val="7"/>
  </w:num>
  <w:num w:numId="23">
    <w:abstractNumId w:val="31"/>
  </w:num>
  <w:num w:numId="24">
    <w:abstractNumId w:val="16"/>
  </w:num>
  <w:num w:numId="25">
    <w:abstractNumId w:val="38"/>
  </w:num>
  <w:num w:numId="26">
    <w:abstractNumId w:val="19"/>
  </w:num>
  <w:num w:numId="27">
    <w:abstractNumId w:val="21"/>
  </w:num>
  <w:num w:numId="28">
    <w:abstractNumId w:val="11"/>
  </w:num>
  <w:num w:numId="29">
    <w:abstractNumId w:val="43"/>
  </w:num>
  <w:num w:numId="30">
    <w:abstractNumId w:val="46"/>
  </w:num>
  <w:num w:numId="31">
    <w:abstractNumId w:val="3"/>
  </w:num>
  <w:num w:numId="32">
    <w:abstractNumId w:val="33"/>
  </w:num>
  <w:num w:numId="33">
    <w:abstractNumId w:val="6"/>
  </w:num>
  <w:num w:numId="34">
    <w:abstractNumId w:val="18"/>
  </w:num>
  <w:num w:numId="35">
    <w:abstractNumId w:val="22"/>
  </w:num>
  <w:num w:numId="36">
    <w:abstractNumId w:val="24"/>
  </w:num>
  <w:num w:numId="37">
    <w:abstractNumId w:val="26"/>
  </w:num>
  <w:num w:numId="38">
    <w:abstractNumId w:val="47"/>
  </w:num>
  <w:num w:numId="39">
    <w:abstractNumId w:val="36"/>
  </w:num>
  <w:num w:numId="40">
    <w:abstractNumId w:val="42"/>
  </w:num>
  <w:num w:numId="41">
    <w:abstractNumId w:val="41"/>
  </w:num>
  <w:num w:numId="42">
    <w:abstractNumId w:val="8"/>
  </w:num>
  <w:num w:numId="43">
    <w:abstractNumId w:val="15"/>
  </w:num>
  <w:num w:numId="44">
    <w:abstractNumId w:val="34"/>
  </w:num>
  <w:num w:numId="45">
    <w:abstractNumId w:val="17"/>
  </w:num>
  <w:num w:numId="46">
    <w:abstractNumId w:val="23"/>
  </w:num>
  <w:num w:numId="47">
    <w:abstractNumId w:val="28"/>
  </w:num>
  <w:num w:numId="48">
    <w:abstractNumId w:val="2"/>
  </w:num>
  <w:num w:numId="49">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91709"/>
    <w:rsid w:val="000B488B"/>
    <w:rsid w:val="000E1989"/>
    <w:rsid w:val="000E339C"/>
    <w:rsid w:val="00114607"/>
    <w:rsid w:val="0016090D"/>
    <w:rsid w:val="0019571A"/>
    <w:rsid w:val="001D71BD"/>
    <w:rsid w:val="001E52DD"/>
    <w:rsid w:val="001E56C0"/>
    <w:rsid w:val="002263A2"/>
    <w:rsid w:val="002432BD"/>
    <w:rsid w:val="0028408A"/>
    <w:rsid w:val="002E1AA3"/>
    <w:rsid w:val="00344A5A"/>
    <w:rsid w:val="0034511F"/>
    <w:rsid w:val="00366FED"/>
    <w:rsid w:val="00382B96"/>
    <w:rsid w:val="003D2F88"/>
    <w:rsid w:val="003F71ED"/>
    <w:rsid w:val="004025A1"/>
    <w:rsid w:val="00424B7B"/>
    <w:rsid w:val="00467CCE"/>
    <w:rsid w:val="00472186"/>
    <w:rsid w:val="004764E7"/>
    <w:rsid w:val="004A3EAA"/>
    <w:rsid w:val="004B160E"/>
    <w:rsid w:val="004C0953"/>
    <w:rsid w:val="004D4F47"/>
    <w:rsid w:val="004E2171"/>
    <w:rsid w:val="004E501C"/>
    <w:rsid w:val="004F02AB"/>
    <w:rsid w:val="004F27AF"/>
    <w:rsid w:val="00516F09"/>
    <w:rsid w:val="005223C6"/>
    <w:rsid w:val="0057588D"/>
    <w:rsid w:val="0059231D"/>
    <w:rsid w:val="00614A8B"/>
    <w:rsid w:val="00615C30"/>
    <w:rsid w:val="00621D04"/>
    <w:rsid w:val="00631E7B"/>
    <w:rsid w:val="00667F3A"/>
    <w:rsid w:val="00670B38"/>
    <w:rsid w:val="00686C35"/>
    <w:rsid w:val="006A5E10"/>
    <w:rsid w:val="006B4B0F"/>
    <w:rsid w:val="006D0EFA"/>
    <w:rsid w:val="006E3A41"/>
    <w:rsid w:val="007011ED"/>
    <w:rsid w:val="00705A8D"/>
    <w:rsid w:val="00740201"/>
    <w:rsid w:val="00762C0D"/>
    <w:rsid w:val="007F5620"/>
    <w:rsid w:val="00835DEE"/>
    <w:rsid w:val="00851140"/>
    <w:rsid w:val="00866F70"/>
    <w:rsid w:val="008A5069"/>
    <w:rsid w:val="008B4AF2"/>
    <w:rsid w:val="008E319E"/>
    <w:rsid w:val="009170AB"/>
    <w:rsid w:val="009253F6"/>
    <w:rsid w:val="00933C25"/>
    <w:rsid w:val="00967C42"/>
    <w:rsid w:val="009B6289"/>
    <w:rsid w:val="009C4AF8"/>
    <w:rsid w:val="009F21EA"/>
    <w:rsid w:val="00A06F2D"/>
    <w:rsid w:val="00A10766"/>
    <w:rsid w:val="00A1496B"/>
    <w:rsid w:val="00A21D0E"/>
    <w:rsid w:val="00A30947"/>
    <w:rsid w:val="00A87B56"/>
    <w:rsid w:val="00AA3668"/>
    <w:rsid w:val="00AA659B"/>
    <w:rsid w:val="00AC2534"/>
    <w:rsid w:val="00AC619C"/>
    <w:rsid w:val="00AE63D0"/>
    <w:rsid w:val="00AF6422"/>
    <w:rsid w:val="00B04E67"/>
    <w:rsid w:val="00B12B22"/>
    <w:rsid w:val="00B810A3"/>
    <w:rsid w:val="00BC4C56"/>
    <w:rsid w:val="00BD5AD5"/>
    <w:rsid w:val="00C0454C"/>
    <w:rsid w:val="00C2618E"/>
    <w:rsid w:val="00CA1F93"/>
    <w:rsid w:val="00CD5BD2"/>
    <w:rsid w:val="00D07F0C"/>
    <w:rsid w:val="00D5578A"/>
    <w:rsid w:val="00D81B8B"/>
    <w:rsid w:val="00DA02AB"/>
    <w:rsid w:val="00DA45F1"/>
    <w:rsid w:val="00E13CC9"/>
    <w:rsid w:val="00E25358"/>
    <w:rsid w:val="00E33567"/>
    <w:rsid w:val="00E529B2"/>
    <w:rsid w:val="00EB3DD4"/>
    <w:rsid w:val="00F0021C"/>
    <w:rsid w:val="00F25808"/>
    <w:rsid w:val="00F26E45"/>
    <w:rsid w:val="00F34B7E"/>
    <w:rsid w:val="00F44732"/>
    <w:rsid w:val="00F461EB"/>
    <w:rsid w:val="00F50701"/>
    <w:rsid w:val="00F77A96"/>
    <w:rsid w:val="00F841D6"/>
    <w:rsid w:val="00FB2566"/>
    <w:rsid w:val="00FE18E5"/>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EE52668-6314-44DF-83F0-4F829707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46</Pages>
  <Words>13331</Words>
  <Characters>79989</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39</cp:revision>
  <cp:lastPrinted>2018-12-12T08:19:00Z</cp:lastPrinted>
  <dcterms:created xsi:type="dcterms:W3CDTF">2018-09-20T06:57:00Z</dcterms:created>
  <dcterms:modified xsi:type="dcterms:W3CDTF">2018-12-12T08:20:00Z</dcterms:modified>
</cp:coreProperties>
</file>