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1: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Zgodnie z pkt 12 Załącznika nr 2 do SIWZ (Szczegółowy opis przedmiotu zamówienia),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Zamawiający wymaga aby wszelkie potwierdzenia nadania przesyłek rejestrowanych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nadanych w placówce Wykonawcy, objęte niniejszym postępowaniem, miały moc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dokumentu urzędowego. Zamawiający wymaga ponadto, aby nadanie przesyłki w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placówce nadawczej Wykonawcy skutkowało domniemaniem jej doręczenia w dniu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nadania, a w szczególności żeby Wykonawca zapewnił, iż nadanie przesyłki w placówce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Wykonawcy skutkować będzie m.in. zachowaniem terminu, czy wniesieniem pisma do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sądu, które to wymogi spełnić może jedynie operator wyznaczony: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Pkt 12 Załącznik nr 2 do SIWZ – Szczegółowy opis przedmiotu zamówienia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„12. Ze względu na specyfikę przesyłek rejestrowanych Zamawiającego, Zamawiający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wymaga przestrzegania przez Wykonawcę nw. wymogów ustawowych w odniesieniu do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dokumentów urzędowych w zakresie: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a) skutków nadania pisma (moc doręczenia) – m.in. zob. art. 57 § 5 pkt 2 ustawy – Kodeks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postępowania administracyjnego /termin uważa się za zachowany, jeżeli przed jego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upływem pismo zostało nadane w polskiej placówce pocztowej operatora wyznaczonego/,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art. 165 § 2 – Kodeks postępowania cywilnego /oddanie pisma procesowego w polskiej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placówce pocztowej operatora wyznaczonego jest równoznaczne z wniesieniem go do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sądu/, art. 12 § 6 pkt 2 – Ordynacja podatkowa /Termin uważa się za zachowany, jeżeli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przed jego upływem pismo zostało nadane w polskiej placówce pocztowej operatora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 xml:space="preserve">wyznaczonego/, art. 198b ust. 2 zdanie drugie ustawy </w:t>
      </w:r>
      <w:r w:rsidRPr="00A51EB6">
        <w:rPr>
          <w:rFonts w:ascii="CambriaMath" w:eastAsia="CambriaMath" w:hAnsi="Sylfaen" w:cs="CambriaMath" w:hint="eastAsia"/>
          <w:b/>
          <w:sz w:val="21"/>
          <w:szCs w:val="21"/>
        </w:rPr>
        <w:t>‐</w:t>
      </w:r>
      <w:r w:rsidRPr="00A51EB6">
        <w:rPr>
          <w:rFonts w:ascii="CambriaMath" w:eastAsia="CambriaMath" w:hAnsi="Sylfaen" w:cs="CambriaMath"/>
          <w:b/>
          <w:sz w:val="21"/>
          <w:szCs w:val="21"/>
        </w:rPr>
        <w:t xml:space="preserve"> </w:t>
      </w:r>
      <w:r w:rsidRPr="00A51EB6">
        <w:rPr>
          <w:rFonts w:ascii="Sylfaen" w:hAnsi="Sylfaen" w:cs="Sylfaen"/>
          <w:b/>
          <w:sz w:val="21"/>
          <w:szCs w:val="21"/>
        </w:rPr>
        <w:t>Prawo zamówień publicznych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/złożenie skarg w placówce pocztowej operatora wyznaczonego jest równoznaczne z jego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wniesieniem/,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b) skutków potwierdzenia przyjęcia przesyłki oraz przekazu pocztowego (moc dokumentu</w:t>
      </w:r>
    </w:p>
    <w:p w:rsidR="00941E2B" w:rsidRPr="00A51EB6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urzędowego) – zob. art. 17 ustawy – Prawo pocztowe /potwierdzenie nadania przesyłki</w:t>
      </w:r>
    </w:p>
    <w:p w:rsidR="00941E2B" w:rsidRPr="00A51EB6" w:rsidRDefault="00941E2B" w:rsidP="00941E2B">
      <w:pPr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rejestrowej lub przekazu pocztowego wydane przez placówkę operatora wyznaczonego/.”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 związku z powyższym powstaje wątpliwość, czy Zamawiający bezwzględnie wymaga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spełnienia powyższych warunków przez nadanie przesyłki w placówce wybranego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wykonawcy, czy zachodzi w tym wypadku możliwość nadania takich przesyłek za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pośrednictwem operatora wyznaczonego?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Należy bowiem podkreślić, że wymogi takie spełnić może jedynie operator wyznaczony,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jakim jest Poczta Polska S.A. Prowadzi to w konsekwencji do naruszenia elementarnych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zasad prawa zamówień publicznych tj. zachowania uczciwej konkurencji i równego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traktowania wykonawców (art. 7 ust. 1 PZP). Może to skutkować przeprowadzeniem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kontroli doraźnej Prezesa Urzędu Zamówień Publicznych, ponieważ, pomimo z pozoru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konkurencyjnego trybu postępowania, udział w jego realizacji może wziąć tylko jeden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podmiot czyli Poczta Polska S.A.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Co więcej, wymogi te nawiązują do świadczenia powszechnej usługi pocztowej. Bazując</w:t>
      </w:r>
    </w:p>
    <w:p w:rsidR="00941E2B" w:rsidRDefault="00941E2B" w:rsidP="00941E2B">
      <w:pPr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na szczegółowym opisie przedmiotu zamówienia trudno znaleźć jakiekolwiek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uzasadnienie przemawiające za określeniem przedmiotu zamówienia jako powszechne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usługi pocztowe lub o takim standardzie.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Stąd też, przytoczone zapisy pkt 12 Załącznika nr 2 do SIWZ, nie mają zastosowania do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realizacji usługi będącej przedmiotem zamówienia.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Ponadto, Krajowa Izba Odwoławcza w trzyosobowym składzie, któremu przewodniczył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Prezes Krajowej Izby Odwoławczej Paweł Trojan, orzekła 7 października 2013 r. (sygn.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akt KIO 2184/13), że żaden sąd i prokuratura w Polsce nie może się domagać by dowód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lastRenderedPageBreak/>
        <w:t>nadania przesyłek poleconych, nadawanych przez sąd lub prokuraturę, był wystawiany z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mocą urzędową.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Dodatkowo, zapisy takie nie są uzasadnione również z tego względu, że w przypadku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przesyłek, o których mowa powyżej, istnieje możliwość alternatywnego świadczenia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usługi w tym zakresie – skutki nadania przesyłek i potwierdzenia ich przyjęcie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wspomniane w powyższych zapisach, można zapewnić poprzez nadanie ich u operatora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wyznaczonego przez Wykonawcę. Zamawiający sam na taką możliwość wskazuje w pkt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5"/>
          <w:szCs w:val="25"/>
        </w:rPr>
      </w:pPr>
      <w:r>
        <w:rPr>
          <w:rFonts w:ascii="Sylfaen" w:hAnsi="Sylfaen" w:cs="Sylfaen"/>
          <w:sz w:val="24"/>
          <w:szCs w:val="24"/>
        </w:rPr>
        <w:t>18 Załącznika nr 2 do SIWZ: „</w:t>
      </w:r>
      <w:r>
        <w:rPr>
          <w:rFonts w:ascii="Sylfaen" w:hAnsi="Sylfaen" w:cs="Sylfaen"/>
          <w:sz w:val="25"/>
          <w:szCs w:val="25"/>
        </w:rPr>
        <w:t>Zamawiający zastrzega sobie możliwość korzystania z usł</w:t>
      </w:r>
      <w:r w:rsidR="00783CFF">
        <w:rPr>
          <w:rFonts w:ascii="Sylfaen" w:hAnsi="Sylfaen" w:cs="Sylfaen"/>
          <w:sz w:val="25"/>
          <w:szCs w:val="25"/>
        </w:rPr>
        <w:t xml:space="preserve">ug z </w:t>
      </w:r>
      <w:r>
        <w:rPr>
          <w:rFonts w:ascii="Sylfaen" w:hAnsi="Sylfaen" w:cs="Sylfaen"/>
          <w:sz w:val="25"/>
          <w:szCs w:val="25"/>
        </w:rPr>
        <w:t>operatora wyznaczonego ( w rozumieniu ustawy Pra</w:t>
      </w:r>
      <w:r w:rsidR="00783CFF">
        <w:rPr>
          <w:rFonts w:ascii="Sylfaen" w:hAnsi="Sylfaen" w:cs="Sylfaen"/>
          <w:sz w:val="25"/>
          <w:szCs w:val="25"/>
        </w:rPr>
        <w:t xml:space="preserve">wo pocztowe) poza zamówieniem w </w:t>
      </w:r>
      <w:r>
        <w:rPr>
          <w:rFonts w:ascii="Sylfaen" w:hAnsi="Sylfaen" w:cs="Sylfaen"/>
          <w:sz w:val="25"/>
          <w:szCs w:val="25"/>
        </w:rPr>
        <w:t>przypadku wysyłania przesyłek a trybie art. 17 Prawo pocztowe, art. 57 § 5 pkt 2 ustawy –Kodeks postępowania administracyjnego (termin uważa się za zachowany, jeż</w:t>
      </w:r>
      <w:r w:rsidR="00783CFF">
        <w:rPr>
          <w:rFonts w:ascii="Sylfaen" w:hAnsi="Sylfaen" w:cs="Sylfaen"/>
          <w:sz w:val="25"/>
          <w:szCs w:val="25"/>
        </w:rPr>
        <w:t xml:space="preserve">eli przed </w:t>
      </w:r>
      <w:r>
        <w:rPr>
          <w:rFonts w:ascii="Sylfaen" w:hAnsi="Sylfaen" w:cs="Sylfaen"/>
          <w:sz w:val="25"/>
          <w:szCs w:val="25"/>
        </w:rPr>
        <w:t>jego upływem pismo zostało nadane w polski</w:t>
      </w:r>
      <w:r w:rsidR="00783CFF">
        <w:rPr>
          <w:rFonts w:ascii="Sylfaen" w:hAnsi="Sylfaen" w:cs="Sylfaen"/>
          <w:sz w:val="25"/>
          <w:szCs w:val="25"/>
        </w:rPr>
        <w:t xml:space="preserve">ej placówce pocztowej operatora </w:t>
      </w:r>
      <w:r>
        <w:rPr>
          <w:rFonts w:ascii="Sylfaen" w:hAnsi="Sylfaen" w:cs="Sylfaen"/>
          <w:sz w:val="25"/>
          <w:szCs w:val="25"/>
        </w:rPr>
        <w:t>wyznaczonego), art. 165 § 2 – Kodeks postęp</w:t>
      </w:r>
      <w:r w:rsidR="00783CFF">
        <w:rPr>
          <w:rFonts w:ascii="Sylfaen" w:hAnsi="Sylfaen" w:cs="Sylfaen"/>
          <w:sz w:val="25"/>
          <w:szCs w:val="25"/>
        </w:rPr>
        <w:t xml:space="preserve">owania cywilnego (oddanie pisma </w:t>
      </w:r>
      <w:r>
        <w:rPr>
          <w:rFonts w:ascii="Sylfaen" w:hAnsi="Sylfaen" w:cs="Sylfaen"/>
          <w:sz w:val="25"/>
          <w:szCs w:val="25"/>
        </w:rPr>
        <w:t>procesowego w polskiej placówce pocztowej operatora</w:t>
      </w:r>
      <w:r w:rsidR="00783CFF">
        <w:rPr>
          <w:rFonts w:ascii="Sylfaen" w:hAnsi="Sylfaen" w:cs="Sylfaen"/>
          <w:sz w:val="25"/>
          <w:szCs w:val="25"/>
        </w:rPr>
        <w:t xml:space="preserve"> wyznaczonego jest równoznaczne </w:t>
      </w:r>
      <w:r>
        <w:rPr>
          <w:rFonts w:ascii="Sylfaen" w:hAnsi="Sylfaen" w:cs="Sylfaen"/>
          <w:sz w:val="25"/>
          <w:szCs w:val="25"/>
        </w:rPr>
        <w:t>z wniesieniem go do sądu), art. 12 § 6 pkt 2 – Ordynacja podatkowa (Termin uważa się</w:t>
      </w:r>
      <w:r w:rsidR="00783CFF">
        <w:rPr>
          <w:rFonts w:ascii="Sylfaen" w:hAnsi="Sylfaen" w:cs="Sylfaen"/>
          <w:sz w:val="25"/>
          <w:szCs w:val="25"/>
        </w:rPr>
        <w:t xml:space="preserve"> za </w:t>
      </w:r>
      <w:r>
        <w:rPr>
          <w:rFonts w:ascii="Sylfaen" w:hAnsi="Sylfaen" w:cs="Sylfaen"/>
          <w:sz w:val="25"/>
          <w:szCs w:val="25"/>
        </w:rPr>
        <w:t>zachowany, jeżeli przed jego upływem pismo został</w:t>
      </w:r>
      <w:r w:rsidR="00783CFF">
        <w:rPr>
          <w:rFonts w:ascii="Sylfaen" w:hAnsi="Sylfaen" w:cs="Sylfaen"/>
          <w:sz w:val="25"/>
          <w:szCs w:val="25"/>
        </w:rPr>
        <w:t xml:space="preserve">o nadane w polskiej </w:t>
      </w:r>
      <w:proofErr w:type="spellStart"/>
      <w:r w:rsidR="00783CFF">
        <w:rPr>
          <w:rFonts w:ascii="Sylfaen" w:hAnsi="Sylfaen" w:cs="Sylfaen"/>
          <w:sz w:val="25"/>
          <w:szCs w:val="25"/>
        </w:rPr>
        <w:t>placówcen</w:t>
      </w:r>
      <w:r>
        <w:rPr>
          <w:rFonts w:ascii="Sylfaen" w:hAnsi="Sylfaen" w:cs="Sylfaen"/>
          <w:sz w:val="25"/>
          <w:szCs w:val="25"/>
        </w:rPr>
        <w:t>pocztowej</w:t>
      </w:r>
      <w:proofErr w:type="spellEnd"/>
      <w:r>
        <w:rPr>
          <w:rFonts w:ascii="Sylfaen" w:hAnsi="Sylfaen" w:cs="Sylfaen"/>
          <w:sz w:val="25"/>
          <w:szCs w:val="25"/>
        </w:rPr>
        <w:t xml:space="preserve"> operatora wyznaczonego), art. 198b ust. 2 zdanie drugie ustawy </w:t>
      </w:r>
      <w:r>
        <w:rPr>
          <w:rFonts w:ascii="CambriaMath" w:eastAsia="CambriaMath" w:hAnsi="Sylfaen" w:cs="CambriaMath" w:hint="eastAsia"/>
          <w:sz w:val="25"/>
          <w:szCs w:val="25"/>
        </w:rPr>
        <w:t>‐</w:t>
      </w:r>
      <w:r>
        <w:rPr>
          <w:rFonts w:ascii="CambriaMath" w:eastAsia="CambriaMath" w:hAnsi="Sylfaen" w:cs="CambriaMath"/>
          <w:sz w:val="25"/>
          <w:szCs w:val="25"/>
        </w:rPr>
        <w:t xml:space="preserve"> </w:t>
      </w:r>
      <w:r w:rsidR="00783CFF">
        <w:rPr>
          <w:rFonts w:ascii="Sylfaen" w:hAnsi="Sylfaen" w:cs="Sylfaen"/>
          <w:sz w:val="25"/>
          <w:szCs w:val="25"/>
        </w:rPr>
        <w:t xml:space="preserve">Prawo </w:t>
      </w:r>
      <w:r>
        <w:rPr>
          <w:rFonts w:ascii="Sylfaen" w:hAnsi="Sylfaen" w:cs="Sylfaen"/>
          <w:sz w:val="25"/>
          <w:szCs w:val="25"/>
        </w:rPr>
        <w:t>zamówień publicznych (złożenie skarg w placówce p</w:t>
      </w:r>
      <w:r w:rsidR="00783CFF">
        <w:rPr>
          <w:rFonts w:ascii="Sylfaen" w:hAnsi="Sylfaen" w:cs="Sylfaen"/>
          <w:sz w:val="25"/>
          <w:szCs w:val="25"/>
        </w:rPr>
        <w:t xml:space="preserve">ocztowej operatora wyznaczonego </w:t>
      </w:r>
      <w:r>
        <w:rPr>
          <w:rFonts w:ascii="Sylfaen" w:hAnsi="Sylfaen" w:cs="Sylfaen"/>
          <w:sz w:val="25"/>
          <w:szCs w:val="25"/>
        </w:rPr>
        <w:t>jest równoznaczne z jego wniesieniem).”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 związku z powyższym, czy Zamawiający dopuszcza usunięcie omawianego w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niniejszym pytaniu zapisu pkt 12 Załącznika nr 2 do SIWZ, jako niemającego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zastosowania do realizacji przedmiotu zamówienia i naruszających art. 7 ustawy PZP?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Ewentualnie, czy Zamawiający dopuszcza możliwość wyłączenia przesyłek, o których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mowa w pkt 12 Załącznika nr 2 do SIWZ, z zakresu przedmiotu zamówienia i niniejszego</w:t>
      </w:r>
    </w:p>
    <w:p w:rsidR="00941E2B" w:rsidRDefault="00941E2B" w:rsidP="00941E2B">
      <w:pPr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postępowania o udzielenie zamówienia publicznego?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Wykonawca podkreśla, że Poczta Polska S.A. jako operator wyznaczony zobowiązany do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świadczenia powszechnej usługi pocztowej ma obowiązek zrealizować usługę i nie może</w:t>
      </w:r>
    </w:p>
    <w:p w:rsidR="00941E2B" w:rsidRDefault="00941E2B" w:rsidP="00941E2B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odmówić w tym zakresie zawarcia umowy o świadczenie usług pocztowych niezależnie</w:t>
      </w:r>
    </w:p>
    <w:p w:rsidR="00941E2B" w:rsidRDefault="00941E2B" w:rsidP="00941E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Sylfaen" w:hAnsi="Sylfaen" w:cs="Sylfaen"/>
          <w:sz w:val="24"/>
          <w:szCs w:val="24"/>
        </w:rPr>
        <w:t>od łączących ją stosunków z Wykonawcą</w:t>
      </w:r>
    </w:p>
    <w:p w:rsidR="00941E2B" w:rsidRDefault="00941E2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E11F7" w:rsidRPr="000137A7" w:rsidRDefault="001E11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37A7">
        <w:rPr>
          <w:rFonts w:ascii="Times New Roman" w:hAnsi="Times New Roman" w:cs="Times New Roman"/>
          <w:sz w:val="24"/>
          <w:szCs w:val="24"/>
          <w:u w:val="single"/>
        </w:rPr>
        <w:t xml:space="preserve">Ad. 1 </w:t>
      </w:r>
    </w:p>
    <w:p w:rsidR="00F659C5" w:rsidRPr="000137A7" w:rsidRDefault="001E11F7">
      <w:pPr>
        <w:rPr>
          <w:rFonts w:ascii="Times New Roman" w:hAnsi="Times New Roman" w:cs="Times New Roman"/>
          <w:sz w:val="24"/>
          <w:szCs w:val="24"/>
        </w:rPr>
      </w:pPr>
      <w:r w:rsidRPr="000137A7">
        <w:rPr>
          <w:rFonts w:ascii="Times New Roman" w:hAnsi="Times New Roman" w:cs="Times New Roman"/>
          <w:sz w:val="24"/>
          <w:szCs w:val="24"/>
        </w:rPr>
        <w:t xml:space="preserve">Zamawiający usuwa z załącznika pkt 12 do SIWZ. W związku z powyższym załącznik nr 2 do </w:t>
      </w:r>
      <w:proofErr w:type="spellStart"/>
      <w:r w:rsidRPr="000137A7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0137A7">
        <w:rPr>
          <w:rFonts w:ascii="Times New Roman" w:hAnsi="Times New Roman" w:cs="Times New Roman"/>
          <w:sz w:val="24"/>
          <w:szCs w:val="24"/>
        </w:rPr>
        <w:t xml:space="preserve"> otrzymuje </w:t>
      </w:r>
      <w:r w:rsidR="000137A7">
        <w:rPr>
          <w:rFonts w:ascii="Times New Roman" w:hAnsi="Times New Roman" w:cs="Times New Roman"/>
          <w:sz w:val="24"/>
          <w:szCs w:val="24"/>
        </w:rPr>
        <w:t xml:space="preserve">nowe </w:t>
      </w:r>
      <w:r w:rsidRPr="000137A7">
        <w:rPr>
          <w:rFonts w:ascii="Times New Roman" w:hAnsi="Times New Roman" w:cs="Times New Roman"/>
          <w:sz w:val="24"/>
          <w:szCs w:val="24"/>
        </w:rPr>
        <w:t>brzmienie.</w:t>
      </w:r>
    </w:p>
    <w:p w:rsidR="001E11F7" w:rsidRDefault="001E11F7">
      <w:pPr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2: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 przypadku usunięcia zapisu pkt 12 Załącznika nr 2 do SIWZ, czy Zamawiający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dopuszcza możliwość sporządzenia odrębnego wykazu przesyłek wymagających nadania u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operatora wyznaczonego lub ich oznakowania w określony sposób - w celu wydzielenia i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nadania przez Wykonawcę u operatora wyznaczonego w dniu odbioru przesyłek od</w:t>
      </w:r>
    </w:p>
    <w:p w:rsidR="00783CFF" w:rsidRDefault="00783CFF" w:rsidP="00783CFF">
      <w:pPr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Zamawiającego?</w:t>
      </w:r>
    </w:p>
    <w:p w:rsidR="00783CFF" w:rsidRPr="000137A7" w:rsidRDefault="00783CFF" w:rsidP="00783CFF">
      <w:pPr>
        <w:rPr>
          <w:rFonts w:ascii="Times New Roman" w:hAnsi="Times New Roman" w:cs="Times New Roman"/>
          <w:sz w:val="24"/>
          <w:szCs w:val="24"/>
        </w:rPr>
      </w:pPr>
    </w:p>
    <w:p w:rsidR="001E11F7" w:rsidRPr="000137A7" w:rsidRDefault="001E11F7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37A7">
        <w:rPr>
          <w:rFonts w:ascii="Times New Roman" w:hAnsi="Times New Roman" w:cs="Times New Roman"/>
          <w:sz w:val="24"/>
          <w:szCs w:val="24"/>
          <w:u w:val="single"/>
        </w:rPr>
        <w:t>Ad. 2</w:t>
      </w:r>
    </w:p>
    <w:p w:rsidR="001E11F7" w:rsidRPr="000137A7" w:rsidRDefault="001E11F7">
      <w:pPr>
        <w:rPr>
          <w:rFonts w:ascii="Times New Roman" w:hAnsi="Times New Roman" w:cs="Times New Roman"/>
          <w:sz w:val="24"/>
          <w:szCs w:val="24"/>
        </w:rPr>
      </w:pPr>
    </w:p>
    <w:p w:rsidR="001E11F7" w:rsidRDefault="008E3975" w:rsidP="008E39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37A7">
        <w:rPr>
          <w:rFonts w:ascii="Times New Roman" w:hAnsi="Times New Roman" w:cs="Times New Roman"/>
          <w:sz w:val="24"/>
          <w:szCs w:val="24"/>
        </w:rPr>
        <w:t xml:space="preserve">Zamawiający nie dopuszcza możliwości sporządzenia odrębnego wykazu przesyłek wymagających nadania u operatora wyznaczonego lub ich oznakowania w określony sposób - </w:t>
      </w:r>
      <w:r w:rsidRPr="000137A7">
        <w:rPr>
          <w:rFonts w:ascii="Times New Roman" w:hAnsi="Times New Roman" w:cs="Times New Roman"/>
          <w:sz w:val="24"/>
          <w:szCs w:val="24"/>
        </w:rPr>
        <w:lastRenderedPageBreak/>
        <w:t>w celu wydzielenia i nadania przez Wykonawcę u operatora wyznaczonego w dniu odbioru prz</w:t>
      </w:r>
      <w:r w:rsidR="00997D53">
        <w:rPr>
          <w:rFonts w:ascii="Times New Roman" w:hAnsi="Times New Roman" w:cs="Times New Roman"/>
          <w:sz w:val="24"/>
          <w:szCs w:val="24"/>
        </w:rPr>
        <w:t xml:space="preserve">esyłek od Zamawiającego. Nadawcą </w:t>
      </w:r>
      <w:r w:rsidRPr="000137A7">
        <w:rPr>
          <w:rFonts w:ascii="Times New Roman" w:hAnsi="Times New Roman" w:cs="Times New Roman"/>
          <w:sz w:val="24"/>
          <w:szCs w:val="24"/>
        </w:rPr>
        <w:t xml:space="preserve"> przesyłek może być wyłącznie Zamawiający.</w:t>
      </w:r>
    </w:p>
    <w:p w:rsidR="00783CFF" w:rsidRDefault="00783CFF" w:rsidP="008E39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Pr="000137A7" w:rsidRDefault="00783CFF" w:rsidP="008E39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3: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Czy Zamawiający może wskazać szacunkowe wolumeny przesyłek, które mają być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nadawane z zachowaniem zasad wynikających z aktów prawnych przytoczonych w pkt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12 Załącznika nr 2 do SIWZ, tzn. m.in. Kodeksu postępowania administracyjnego,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Ordynacji podatkowej, Kodeksu postępowania cywilnego, Prawa zamówień publicznych?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Jeżeli Zamawiający przewiduje konieczność nadania części przesyłek u operatora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wyznaczonego, czy Zamawiający może wskazać szacunkowe wolumeny przesyłek, które</w:t>
      </w:r>
    </w:p>
    <w:p w:rsidR="008E3975" w:rsidRDefault="00783CFF" w:rsidP="00783CFF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mają być nadawane w ten sposób?</w:t>
      </w:r>
    </w:p>
    <w:p w:rsidR="00783CFF" w:rsidRPr="000137A7" w:rsidRDefault="00783CFF" w:rsidP="00783C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E3975" w:rsidRPr="000137A7" w:rsidRDefault="008E3975" w:rsidP="008E397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0137A7">
        <w:rPr>
          <w:rFonts w:ascii="Times New Roman" w:hAnsi="Times New Roman" w:cs="Times New Roman"/>
          <w:sz w:val="24"/>
          <w:szCs w:val="24"/>
          <w:u w:val="single"/>
        </w:rPr>
        <w:t>Ad. 3</w:t>
      </w:r>
    </w:p>
    <w:p w:rsidR="00EB4955" w:rsidRPr="00DC0BCE" w:rsidRDefault="00EB4955" w:rsidP="00DC0B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C0BCE" w:rsidRPr="00DC0BCE" w:rsidRDefault="00DC0BCE" w:rsidP="00DC0B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0BCE">
        <w:rPr>
          <w:rFonts w:ascii="Times New Roman" w:hAnsi="Times New Roman" w:cs="Times New Roman"/>
          <w:sz w:val="24"/>
          <w:szCs w:val="24"/>
        </w:rPr>
        <w:t>Zamawiający szacuje ilość przesyłek, które mają być nadawane z zachowaniem zasad wynikających z aktów prawnych przytoczonych w pkt 12 Załącznika nr 2 do SIWZ, tzn. m.in. Kodeksu postępowania administracyjnego, Ordynacji podatkowej, Kodeksu postępowania cywilnego, Prawa z</w:t>
      </w:r>
      <w:r w:rsidR="00091353">
        <w:rPr>
          <w:rFonts w:ascii="Times New Roman" w:hAnsi="Times New Roman" w:cs="Times New Roman"/>
          <w:sz w:val="24"/>
          <w:szCs w:val="24"/>
        </w:rPr>
        <w:t>amówień publicznych na około 21</w:t>
      </w:r>
      <w:bookmarkStart w:id="0" w:name="_GoBack"/>
      <w:bookmarkEnd w:id="0"/>
      <w:r w:rsidR="00091353">
        <w:rPr>
          <w:rFonts w:ascii="Times New Roman" w:hAnsi="Times New Roman" w:cs="Times New Roman"/>
          <w:sz w:val="24"/>
          <w:szCs w:val="24"/>
        </w:rPr>
        <w:t xml:space="preserve">075 sztuk. </w:t>
      </w:r>
    </w:p>
    <w:p w:rsidR="00DC0BCE" w:rsidRPr="00DC0BCE" w:rsidRDefault="00DC0BCE" w:rsidP="00DC0BCE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</w:p>
    <w:p w:rsidR="00EB4955" w:rsidRDefault="00D1511B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</w:t>
      </w:r>
      <w:r w:rsidR="008F3B9F">
        <w:rPr>
          <w:rFonts w:ascii="Times New Roman" w:hAnsi="Times New Roman" w:cs="Times New Roman"/>
          <w:sz w:val="24"/>
          <w:szCs w:val="24"/>
        </w:rPr>
        <w:t>wiający sza</w:t>
      </w:r>
      <w:r w:rsidR="00EB4955">
        <w:rPr>
          <w:rFonts w:ascii="Times New Roman" w:hAnsi="Times New Roman" w:cs="Times New Roman"/>
          <w:sz w:val="24"/>
          <w:szCs w:val="24"/>
        </w:rPr>
        <w:t>cuje ilość przesyłek, które mają</w:t>
      </w:r>
      <w:r w:rsidR="008F3B9F">
        <w:rPr>
          <w:rFonts w:ascii="Times New Roman" w:hAnsi="Times New Roman" w:cs="Times New Roman"/>
          <w:sz w:val="24"/>
          <w:szCs w:val="24"/>
        </w:rPr>
        <w:t xml:space="preserve"> być</w:t>
      </w:r>
      <w:r w:rsidR="00EB4955">
        <w:rPr>
          <w:rFonts w:ascii="Times New Roman" w:hAnsi="Times New Roman" w:cs="Times New Roman"/>
          <w:sz w:val="24"/>
          <w:szCs w:val="24"/>
        </w:rPr>
        <w:t xml:space="preserve"> nadane u operatora wyznaczonego na około 1500 sztuk.</w:t>
      </w:r>
    </w:p>
    <w:p w:rsidR="00783CFF" w:rsidRDefault="00783CFF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4: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Czy Zamawiający dopuszcza możliwość by na kopercie oprócz danych wskazanych przez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Zamawiającego znajdowały się informacje o opłacie za usługę pocztową związane ze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świadczeniem części zamówienia przez podwykonawców, ewentualnie inne informacje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związane z obiegiem przesyłek pocztowych?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Wykonawca jednocześnie zaznacza, że informacje te nie będą zakrywać nadruku adresu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firmowego Zamawiającego oraz nie będą naruszać innych wymagań wskazanych w SIWZ.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Czy Zamawiający dopuszcza również możliwość dokonania zmian układu danych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adresowych na kopercie, polegających na obniżeniu danych adresowych nadawcy w taki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sposób aby zwiększyć wysokość górnego marginesu koperty do wartości ok. 30 mm?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Wykonawca zaznacza, że powyższa zmiana ma na celu usprawnienie procesu obiegu</w:t>
      </w:r>
    </w:p>
    <w:p w:rsidR="00783CFF" w:rsidRDefault="00783CFF" w:rsidP="00783C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przesyłek pocztowych doręczanych przez Podwykonawców.</w:t>
      </w:r>
    </w:p>
    <w:p w:rsidR="000137A7" w:rsidRDefault="008F3B9F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7A7" w:rsidRPr="00C954FA" w:rsidRDefault="000137A7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954FA">
        <w:rPr>
          <w:rFonts w:ascii="Times New Roman" w:hAnsi="Times New Roman" w:cs="Times New Roman"/>
          <w:sz w:val="24"/>
          <w:szCs w:val="24"/>
          <w:u w:val="single"/>
        </w:rPr>
        <w:t>Ad. 4</w:t>
      </w:r>
    </w:p>
    <w:p w:rsidR="00C954FA" w:rsidRDefault="00C954FA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37A7">
        <w:rPr>
          <w:rFonts w:ascii="Times New Roman" w:hAnsi="Times New Roman" w:cs="Times New Roman"/>
          <w:sz w:val="24"/>
          <w:szCs w:val="24"/>
        </w:rPr>
        <w:t>Zamawiający nie dopuszcza możliwości umieszczania na kopercie informacji o opłacie za usługę pocztową związanych ze świadczeniem części zamówienia przez podwykonawców. Zamawiający dopuszcza możliwość umieszczenia na kopercie danych identyfikujących Wykonawcę oraz wysokość opłaty za przesyłkę</w:t>
      </w:r>
      <w:r>
        <w:rPr>
          <w:rFonts w:ascii="Times New Roman" w:hAnsi="Times New Roman" w:cs="Times New Roman"/>
          <w:sz w:val="24"/>
          <w:szCs w:val="24"/>
        </w:rPr>
        <w:t xml:space="preserve"> pobrana przez </w:t>
      </w:r>
      <w:r w:rsidRPr="000137A7">
        <w:rPr>
          <w:rFonts w:ascii="Times New Roman" w:hAnsi="Times New Roman" w:cs="Times New Roman"/>
          <w:sz w:val="24"/>
          <w:szCs w:val="24"/>
        </w:rPr>
        <w:t xml:space="preserve">Wykonawcę. Zamawiający dopuszcza możliwość </w:t>
      </w:r>
      <w:r>
        <w:rPr>
          <w:rFonts w:ascii="Times New Roman" w:hAnsi="Times New Roman" w:cs="Times New Roman"/>
          <w:sz w:val="24"/>
          <w:szCs w:val="24"/>
        </w:rPr>
        <w:t xml:space="preserve">dokonania zmian układu danych </w:t>
      </w:r>
      <w:r w:rsidRPr="000137A7">
        <w:rPr>
          <w:rFonts w:ascii="Times New Roman" w:hAnsi="Times New Roman" w:cs="Times New Roman"/>
          <w:sz w:val="24"/>
          <w:szCs w:val="24"/>
        </w:rPr>
        <w:t>adresowych na kopercie, polegających na obniżeniu danych adre</w:t>
      </w:r>
      <w:r>
        <w:rPr>
          <w:rFonts w:ascii="Times New Roman" w:hAnsi="Times New Roman" w:cs="Times New Roman"/>
          <w:sz w:val="24"/>
          <w:szCs w:val="24"/>
        </w:rPr>
        <w:t xml:space="preserve">sowych nadawcy w taki </w:t>
      </w:r>
      <w:r w:rsidRPr="000137A7">
        <w:rPr>
          <w:rFonts w:ascii="Times New Roman" w:hAnsi="Times New Roman" w:cs="Times New Roman"/>
          <w:sz w:val="24"/>
          <w:szCs w:val="24"/>
        </w:rPr>
        <w:t>sposób, aby zwiększyć wysokość górnego marginesu koperty do wartości ok. 30 mm.</w:t>
      </w:r>
    </w:p>
    <w:p w:rsidR="00783CFF" w:rsidRDefault="00783CFF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5: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lastRenderedPageBreak/>
        <w:t xml:space="preserve">W Części X pkt 2 i Części XII pkt 2 </w:t>
      </w:r>
      <w:proofErr w:type="spellStart"/>
      <w:r>
        <w:rPr>
          <w:rFonts w:ascii="Sylfaen" w:hAnsi="Sylfaen" w:cs="Sylfaen"/>
          <w:sz w:val="24"/>
          <w:szCs w:val="24"/>
        </w:rPr>
        <w:t>ppkt</w:t>
      </w:r>
      <w:proofErr w:type="spellEnd"/>
      <w:r>
        <w:rPr>
          <w:rFonts w:ascii="Sylfaen" w:hAnsi="Sylfaen" w:cs="Sylfaen"/>
          <w:sz w:val="24"/>
          <w:szCs w:val="24"/>
        </w:rPr>
        <w:t xml:space="preserve"> 2.1) (analogiczny zapis w § 3 ust. 2 Załącznika nr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4) SIWZ, Zamawiający przedstawia szereg wymogów związanych z realizacją przedmiotu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umowy z udziałem podwykonawców: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Cz. X pkt 2 SIWZ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„2. Zgodnie z oświadczeniem złożonym w ofercie Wykonawca, którego oferta zostanie uznana za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najkorzystniejszą przedłoży Zamawiającemu w dniu podpisania umowy polisę lub inny dokument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ubezpieczenia, potwierdzający, że Wykonawca jak również Podwykonawcy są w okresie realizacji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umowy ubezpieczeni od odpowiedzialności cywilnej w zakresie prowadzonej działalności gospodarczej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na kwotę min. do wartości zawartej umowy obejmującą terminem ważności termin realizacji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zamówienia.”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 xml:space="preserve">Cz. XII pkt 2 </w:t>
      </w:r>
      <w:proofErr w:type="spellStart"/>
      <w:r w:rsidRPr="00A51EB6">
        <w:rPr>
          <w:rFonts w:ascii="Sylfaen" w:hAnsi="Sylfaen" w:cs="Sylfaen"/>
          <w:b/>
          <w:sz w:val="21"/>
          <w:szCs w:val="21"/>
        </w:rPr>
        <w:t>ppkt</w:t>
      </w:r>
      <w:proofErr w:type="spellEnd"/>
      <w:r w:rsidRPr="00A51EB6">
        <w:rPr>
          <w:rFonts w:ascii="Sylfaen" w:hAnsi="Sylfaen" w:cs="Sylfaen"/>
          <w:b/>
          <w:sz w:val="21"/>
          <w:szCs w:val="21"/>
        </w:rPr>
        <w:t xml:space="preserve"> 2.1) SIWZ oraz § 3 ust. 2 Załącznika nr 4 do SIWZ (Wzór umowy)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„Zamawiający dopuszcza zmianę Podwykonawcy z zastrzeżeniem, że jeśli Wykonawca w procedurze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udzielenia niniejszego zamówienia w wyniku którego zawarto niniejszą umowę posłużył się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doświadczeniem Podwykonawcy, nowy podwykonawca musi również wykazać się doświadczeniem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wymaganym przez Zamawiającego w procedurze o udzielenie zamówienia będącego przedmiotem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umowy. Zmiana Podwykonawcy wymaga wcześniejszego powiadomienia Zamawiającego oraz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udzielenia przez niego zgody na piśmie. Dotychczasowy podwykonawca odpowiada z nowym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podwykonawcą i Wykonawca solidarnie. Odpowiedzialność ta dotyczy zarówno wykonywania</w:t>
      </w:r>
    </w:p>
    <w:p w:rsidR="00783CFF" w:rsidRPr="00A51EB6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b/>
          <w:sz w:val="21"/>
          <w:szCs w:val="21"/>
        </w:rPr>
      </w:pPr>
      <w:r w:rsidRPr="00A51EB6">
        <w:rPr>
          <w:rFonts w:ascii="Sylfaen" w:hAnsi="Sylfaen" w:cs="Sylfaen"/>
          <w:b/>
          <w:sz w:val="21"/>
          <w:szCs w:val="21"/>
        </w:rPr>
        <w:t>przedmiotu Umowy jak i powstałych w ramach jego wykonania szkód.”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Takie zastrzeżenia nie mają w ocenie Wykonawcy podstawy w obowiązujących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przepisach.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Co do zgody Zamawiającego na możliwość posłużenia się przez Wykonawcę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podwykonawcami, to zgodnie z orzecznictwem Krajowej Izby Odwoławczej przy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Urzędzie Zamówień Publicznych (np. wyrok z dnia 01 września 2010 roku, sygn.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KIO/UZP 1776/10) nie ma żadnej podstawy normatywnej do zastrzegania w SIWZ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możliwości wyrażenia zgody na podwykonawcę przy zamówieniach na świadczenie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usług. Tylko przy umowach o roboty budowlane kodeks cywilny w art. 647</w:t>
      </w:r>
      <w:r>
        <w:rPr>
          <w:rFonts w:ascii="Sylfaen" w:hAnsi="Sylfaen" w:cs="Sylfaen"/>
          <w:sz w:val="14"/>
          <w:szCs w:val="14"/>
        </w:rPr>
        <w:t xml:space="preserve">1 </w:t>
      </w:r>
      <w:r>
        <w:rPr>
          <w:rFonts w:ascii="Sylfaen" w:hAnsi="Sylfaen" w:cs="Sylfaen"/>
          <w:sz w:val="24"/>
          <w:szCs w:val="24"/>
        </w:rPr>
        <w:t>przewiduje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taką możliwość. Bezzasadny jest więc wymóg zgody do zawarcia przez Wykonawcę</w:t>
      </w:r>
    </w:p>
    <w:p w:rsidR="00783CFF" w:rsidRDefault="00783CFF" w:rsidP="00783CFF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umowy z Podwykonawcami, również z tymi, którzy nie zostali wymienieni w umowie.</w:t>
      </w:r>
    </w:p>
    <w:p w:rsidR="00783CFF" w:rsidRDefault="00783CFF" w:rsidP="00783CFF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Bazując na orzecznictwie Krajowej Izby Odwoławczej, w ocenie Wykonawcy, oprócz art.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647</w:t>
      </w:r>
      <w:r>
        <w:rPr>
          <w:rFonts w:ascii="Sylfaen" w:hAnsi="Sylfaen" w:cs="Sylfaen"/>
          <w:sz w:val="14"/>
          <w:szCs w:val="14"/>
        </w:rPr>
        <w:t xml:space="preserve">1 </w:t>
      </w:r>
      <w:r>
        <w:rPr>
          <w:rFonts w:ascii="Sylfaen" w:hAnsi="Sylfaen" w:cs="Sylfaen"/>
          <w:sz w:val="24"/>
          <w:szCs w:val="24"/>
        </w:rPr>
        <w:t>kodeksu cywilnego, brak jest podstawy prawnej statuującej obowiązek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powiadomienia Zamawiającego o zmianie podwykonawcy przez Wykonawcę, bądź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przedstawienia jakichkolwiek innych dokumentów dotyczących stosunków prawnych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łączących Wykonawcę z podwykonawcami. Nie ma również podstaw do jakiejkolwiek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ingerencji przez Zamawiającego w wewnętrzne stosunki łączące Wykonawcę z jego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Podwykonawcami. Odnosi się to również do kwestii formy umowy zawartej pomiędzy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Wykonawcą i Podwykonawcami lub kwestii wewnętrznych rozliczeń pomiędzy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powyższymi.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Zgodnie bowiem z art. 36 ust. 4 PZP Zamawiający, w przypadku gdy dopuszcza udział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podwykonawców w realizacji zamówienia, może żądać wskazania przez wykonawcę w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ofercie jedynie części zamówienia, której wykonanie powierzy podwykonawcom. Jak z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powyższego wynika PZP dopuszcza jedynie możliwość wskazania zakresu powierzonego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podwykonawcom, w żadnej mierze nie dopuszcza możliwość żądania dalszych informacji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o podwykonawcach, jak nazw podwykonawców, adresów czy warunków współpracy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wykonawcy z podwykonawcą. Jest to przepis bezwzględny i Zamawiający nie może go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lastRenderedPageBreak/>
        <w:t>modyfikować (tak wyrok Krajowej Izby Odwoławczej przy Prezesie Urzędu Zamówień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5"/>
          <w:szCs w:val="25"/>
        </w:rPr>
      </w:pPr>
      <w:r>
        <w:rPr>
          <w:rFonts w:ascii="Sylfaen" w:hAnsi="Sylfaen" w:cs="Sylfaen"/>
          <w:sz w:val="24"/>
          <w:szCs w:val="24"/>
        </w:rPr>
        <w:t>Publicznych z dnia 31 stycznia 2013 r., sygn. KIO 98/13, gdzie KIO wskazało, że „</w:t>
      </w:r>
      <w:r>
        <w:rPr>
          <w:rFonts w:ascii="Sylfaen" w:hAnsi="Sylfaen" w:cs="Sylfaen"/>
          <w:sz w:val="25"/>
          <w:szCs w:val="25"/>
        </w:rPr>
        <w:t>przepis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5"/>
          <w:szCs w:val="25"/>
        </w:rPr>
      </w:pPr>
      <w:r>
        <w:rPr>
          <w:rFonts w:ascii="Sylfaen" w:hAnsi="Sylfaen" w:cs="Sylfaen"/>
          <w:sz w:val="25"/>
          <w:szCs w:val="25"/>
        </w:rPr>
        <w:t xml:space="preserve">art. 36 ust. 4 </w:t>
      </w:r>
      <w:proofErr w:type="spellStart"/>
      <w:r>
        <w:rPr>
          <w:rFonts w:ascii="Sylfaen" w:hAnsi="Sylfaen" w:cs="Sylfaen"/>
          <w:sz w:val="25"/>
          <w:szCs w:val="25"/>
        </w:rPr>
        <w:t>p.z.p</w:t>
      </w:r>
      <w:proofErr w:type="spellEnd"/>
      <w:r>
        <w:rPr>
          <w:rFonts w:ascii="Sylfaen" w:hAnsi="Sylfaen" w:cs="Sylfaen"/>
          <w:sz w:val="25"/>
          <w:szCs w:val="25"/>
        </w:rPr>
        <w:t>. ma charakter bezwzględnie obowiązujący i zamawiający nie ma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5"/>
          <w:szCs w:val="25"/>
        </w:rPr>
        <w:t>możliwości jego zmiany czy pominięcia w SIWZ</w:t>
      </w:r>
      <w:r>
        <w:rPr>
          <w:rFonts w:ascii="Sylfaen" w:hAnsi="Sylfaen" w:cs="Sylfaen"/>
          <w:sz w:val="24"/>
          <w:szCs w:val="24"/>
        </w:rPr>
        <w:t>.”)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W związku z tym, czy Zamawiający dopuszcza możliwość usunięcia pogrubionych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fragmentów powyżej cytowanych zapisów, jako nieposiadających oparcia zarówno w</w:t>
      </w:r>
    </w:p>
    <w:p w:rsidR="00783CFF" w:rsidRDefault="00783CFF" w:rsidP="00783C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obowiązujących przepisach, jak i linii orzeczniczej KIO?</w:t>
      </w:r>
    </w:p>
    <w:p w:rsidR="00542540" w:rsidRDefault="00542540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42540" w:rsidRPr="00C954FA" w:rsidRDefault="00542540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954FA">
        <w:rPr>
          <w:rFonts w:ascii="Times New Roman" w:hAnsi="Times New Roman" w:cs="Times New Roman"/>
          <w:sz w:val="24"/>
          <w:szCs w:val="24"/>
          <w:u w:val="single"/>
        </w:rPr>
        <w:t>Ad. 5</w:t>
      </w:r>
    </w:p>
    <w:p w:rsidR="00C954FA" w:rsidRDefault="00C954FA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wykreśla 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cytowane przez Wykonawcę zapisy. W związku z powyższym </w:t>
      </w:r>
      <w:proofErr w:type="spellStart"/>
      <w:r>
        <w:rPr>
          <w:rFonts w:ascii="Times New Roman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otrzymuje nowe brzmienie</w:t>
      </w:r>
      <w:r w:rsidR="003123D2">
        <w:rPr>
          <w:rFonts w:ascii="Times New Roman" w:hAnsi="Times New Roman" w:cs="Times New Roman"/>
          <w:sz w:val="24"/>
          <w:szCs w:val="24"/>
        </w:rPr>
        <w:t xml:space="preserve"> (uwaga – zamawiający żąda przedłożenia polisy wraz z ofertą)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540" w:rsidRDefault="00542540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6: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5"/>
          <w:szCs w:val="25"/>
        </w:rPr>
      </w:pPr>
      <w:r>
        <w:rPr>
          <w:rFonts w:ascii="Sylfaen" w:hAnsi="Sylfaen" w:cs="Sylfaen"/>
          <w:sz w:val="24"/>
          <w:szCs w:val="24"/>
        </w:rPr>
        <w:t xml:space="preserve">Zgodnie z § 7 ust. 4 Załącznika nr 4 do SIWZ (wzór umowy), </w:t>
      </w:r>
      <w:r>
        <w:rPr>
          <w:rFonts w:ascii="Sylfaen" w:hAnsi="Sylfaen" w:cs="Sylfaen"/>
          <w:sz w:val="25"/>
          <w:szCs w:val="25"/>
        </w:rPr>
        <w:t>wypłata wynagrodzenia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5"/>
          <w:szCs w:val="25"/>
        </w:rPr>
      </w:pPr>
      <w:r>
        <w:rPr>
          <w:rFonts w:ascii="Sylfaen" w:hAnsi="Sylfaen" w:cs="Sylfaen"/>
          <w:sz w:val="25"/>
          <w:szCs w:val="25"/>
        </w:rPr>
        <w:t>nastąpi w terminie 21 dni od daty otrzymania faktury VAT, przelewem na rachunek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5"/>
          <w:szCs w:val="25"/>
        </w:rPr>
      </w:pPr>
      <w:r>
        <w:rPr>
          <w:rFonts w:ascii="Sylfaen" w:hAnsi="Sylfaen" w:cs="Sylfaen"/>
          <w:sz w:val="25"/>
          <w:szCs w:val="25"/>
        </w:rPr>
        <w:t>bankowy wskazany przez Wykonawcę.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Czy Zamawiający dopuszcza możliwość skrócenia terminu płatności wynagrodzenia do 14</w:t>
      </w:r>
    </w:p>
    <w:p w:rsidR="00783CFF" w:rsidRDefault="00783CFF" w:rsidP="00783C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dni od daty otrzymania faktury VAT przez Zamawiającego?</w:t>
      </w:r>
    </w:p>
    <w:p w:rsidR="00783CFF" w:rsidRDefault="00783CFF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54FA" w:rsidRPr="00C954FA" w:rsidRDefault="00C954FA" w:rsidP="000137A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954FA">
        <w:rPr>
          <w:rFonts w:ascii="Times New Roman" w:hAnsi="Times New Roman" w:cs="Times New Roman"/>
          <w:sz w:val="24"/>
          <w:szCs w:val="24"/>
          <w:u w:val="single"/>
        </w:rPr>
        <w:t>Ad. 6</w:t>
      </w:r>
    </w:p>
    <w:p w:rsidR="00542540" w:rsidRPr="00C954FA" w:rsidRDefault="00542540" w:rsidP="0054254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Zamawiający nie dopuszcza możliwości skrócenia terminu płatności wynagrodzenia do 14</w:t>
      </w:r>
    </w:p>
    <w:p w:rsidR="00542540" w:rsidRDefault="00542540" w:rsidP="00542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dni od daty otrzymania faktury VAT przez Zamawiającego.</w:t>
      </w:r>
    </w:p>
    <w:p w:rsidR="00C954FA" w:rsidRDefault="00C954FA" w:rsidP="00542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7: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Czy Zamawiający dopuszcza możliwość zwiększenia odległości pomiędzy nadawczą</w:t>
      </w:r>
    </w:p>
    <w:p w:rsidR="00783CFF" w:rsidRDefault="00783CFF" w:rsidP="00783CFF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placówka operatora a siedzibą Zamawiającego do 850 m (nawigacja piesza)?</w:t>
      </w:r>
    </w:p>
    <w:p w:rsidR="00783CFF" w:rsidRDefault="00783CFF" w:rsidP="00783C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54FA" w:rsidRPr="00C954FA" w:rsidRDefault="00C954FA" w:rsidP="005425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954FA">
        <w:rPr>
          <w:rFonts w:ascii="Times New Roman" w:hAnsi="Times New Roman" w:cs="Times New Roman"/>
          <w:sz w:val="24"/>
          <w:szCs w:val="24"/>
          <w:u w:val="single"/>
        </w:rPr>
        <w:t>Ad. 7</w:t>
      </w:r>
    </w:p>
    <w:p w:rsidR="00C954FA" w:rsidRDefault="00C954FA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Zamawiający nie dopuszcza możliwości zwiększenia odległośc</w:t>
      </w:r>
      <w:r>
        <w:rPr>
          <w:rFonts w:ascii="Times New Roman" w:hAnsi="Times New Roman" w:cs="Times New Roman"/>
          <w:sz w:val="24"/>
          <w:szCs w:val="24"/>
        </w:rPr>
        <w:t xml:space="preserve">i pomiędzy nadawczą </w:t>
      </w:r>
      <w:r w:rsidRPr="00C954FA">
        <w:rPr>
          <w:rFonts w:ascii="Times New Roman" w:hAnsi="Times New Roman" w:cs="Times New Roman"/>
          <w:sz w:val="24"/>
          <w:szCs w:val="24"/>
        </w:rPr>
        <w:t>placówka operatora a siedzibą Zamawiającego do 850 m (nawigacja piesza).</w:t>
      </w:r>
    </w:p>
    <w:p w:rsidR="00783CFF" w:rsidRDefault="00783CFF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Pr="00C954FA" w:rsidRDefault="00783CFF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PYTANIE NR 8: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Czy Zamawiający dopuszcza zmianę przedziałów wagowych w formularzu cenowym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polegającą na zastosowaniu przedziałów wagowych wg poniższego wzoru: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Przedział nr 1: do 350 g;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Przedział nr 2: od 350 do 500 g;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Przedział nr 3: od 500 do 1000 g;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Przedział nr 4: od 1000 do 2000 g.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Powyższa propozycja spowoduje znaczące ułatwienie rozliczeń pomiędzy Wykonawcą</w:t>
      </w:r>
    </w:p>
    <w:p w:rsidR="00783CFF" w:rsidRDefault="00783CFF" w:rsidP="00783CFF">
      <w:pPr>
        <w:autoSpaceDE w:val="0"/>
        <w:autoSpaceDN w:val="0"/>
        <w:adjustRightInd w:val="0"/>
        <w:jc w:val="lef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a Zamawiającym. Wskazane powyżej przedziały wagowe są stosowane również przez</w:t>
      </w:r>
    </w:p>
    <w:p w:rsidR="00C954FA" w:rsidRDefault="00783CFF" w:rsidP="00783CFF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operatora wyznaczonego, który może być podwykonawcą Wykonawcy.</w:t>
      </w:r>
    </w:p>
    <w:p w:rsidR="00783CFF" w:rsidRDefault="00783CFF" w:rsidP="00783CFF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</w:p>
    <w:p w:rsidR="00783CFF" w:rsidRDefault="00783CFF" w:rsidP="00783C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954FA" w:rsidRDefault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C954FA">
        <w:rPr>
          <w:rFonts w:ascii="Times New Roman" w:hAnsi="Times New Roman" w:cs="Times New Roman"/>
          <w:sz w:val="24"/>
          <w:szCs w:val="24"/>
          <w:u w:val="single"/>
        </w:rPr>
        <w:lastRenderedPageBreak/>
        <w:t>Ad. 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54FA" w:rsidRPr="00C954FA" w:rsidRDefault="00C954FA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Zamawiający nie dopuszcza zmiany przedziałów wagowych w formularzu cenowym</w:t>
      </w:r>
      <w:r>
        <w:rPr>
          <w:rFonts w:ascii="Times New Roman" w:hAnsi="Times New Roman" w:cs="Times New Roman"/>
          <w:sz w:val="24"/>
          <w:szCs w:val="24"/>
        </w:rPr>
        <w:t xml:space="preserve"> polegającej</w:t>
      </w:r>
      <w:r w:rsidRPr="00C954FA">
        <w:rPr>
          <w:rFonts w:ascii="Times New Roman" w:hAnsi="Times New Roman" w:cs="Times New Roman"/>
          <w:sz w:val="24"/>
          <w:szCs w:val="24"/>
        </w:rPr>
        <w:t xml:space="preserve"> na zastosowaniu przedziałów wagowych wg poniższego wzoru:</w:t>
      </w:r>
    </w:p>
    <w:p w:rsidR="00C954FA" w:rsidRPr="00C954FA" w:rsidRDefault="00C954FA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Przedział nr 1: do 350 g;</w:t>
      </w:r>
    </w:p>
    <w:p w:rsidR="00C954FA" w:rsidRPr="00C954FA" w:rsidRDefault="00C954FA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Przedział nr 2: od 350 do 500 g;</w:t>
      </w:r>
    </w:p>
    <w:p w:rsidR="00C954FA" w:rsidRPr="00C954FA" w:rsidRDefault="00C954FA" w:rsidP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Przedział nr 3: od 500 do 1000 g;</w:t>
      </w:r>
    </w:p>
    <w:p w:rsidR="00C954FA" w:rsidRPr="00C954FA" w:rsidRDefault="00C954F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54FA">
        <w:rPr>
          <w:rFonts w:ascii="Times New Roman" w:hAnsi="Times New Roman" w:cs="Times New Roman"/>
          <w:sz w:val="24"/>
          <w:szCs w:val="24"/>
        </w:rPr>
        <w:t>Przedział nr 4: od 1000 do 2000 g.</w:t>
      </w:r>
    </w:p>
    <w:sectPr w:rsidR="00C954FA" w:rsidRPr="00C9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DC"/>
    <w:rsid w:val="000137A7"/>
    <w:rsid w:val="00091353"/>
    <w:rsid w:val="001E11F7"/>
    <w:rsid w:val="003123D2"/>
    <w:rsid w:val="003E21DC"/>
    <w:rsid w:val="004D004E"/>
    <w:rsid w:val="00542540"/>
    <w:rsid w:val="00685663"/>
    <w:rsid w:val="00783CFF"/>
    <w:rsid w:val="008A1E18"/>
    <w:rsid w:val="008E3975"/>
    <w:rsid w:val="008F3B9F"/>
    <w:rsid w:val="0092378C"/>
    <w:rsid w:val="00941E2B"/>
    <w:rsid w:val="00997D53"/>
    <w:rsid w:val="00A51EB6"/>
    <w:rsid w:val="00C954FA"/>
    <w:rsid w:val="00D1511B"/>
    <w:rsid w:val="00DC0BCE"/>
    <w:rsid w:val="00EB4955"/>
    <w:rsid w:val="00EC29B1"/>
    <w:rsid w:val="00F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20</cp:revision>
  <dcterms:created xsi:type="dcterms:W3CDTF">2013-12-07T08:53:00Z</dcterms:created>
  <dcterms:modified xsi:type="dcterms:W3CDTF">2013-12-09T13:38:00Z</dcterms:modified>
</cp:coreProperties>
</file>