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69" w:rsidRPr="00F321DF" w:rsidRDefault="00FE6A69" w:rsidP="00FE6A69">
      <w:pPr>
        <w:rPr>
          <w:rFonts w:ascii="Century Gothic" w:hAnsi="Century Gothic" w:cs="Tahoma"/>
          <w:sz w:val="24"/>
          <w:szCs w:val="24"/>
        </w:rPr>
      </w:pPr>
    </w:p>
    <w:p w:rsidR="007678F5" w:rsidRPr="00F321DF" w:rsidRDefault="007678F5" w:rsidP="007678F5">
      <w:pPr>
        <w:jc w:val="center"/>
        <w:rPr>
          <w:rFonts w:ascii="Calibri" w:hAnsi="Calibri"/>
          <w:b/>
          <w:i/>
          <w:sz w:val="24"/>
          <w:szCs w:val="24"/>
        </w:rPr>
      </w:pPr>
      <w:r w:rsidRPr="00F321DF">
        <w:rPr>
          <w:rFonts w:ascii="Calibri" w:hAnsi="Calibri"/>
          <w:b/>
          <w:i/>
          <w:sz w:val="24"/>
          <w:szCs w:val="24"/>
        </w:rPr>
        <w:t xml:space="preserve">Wyjaśnienia Zamawiającego </w:t>
      </w:r>
      <w:r w:rsidR="00A1649A">
        <w:rPr>
          <w:rFonts w:ascii="Calibri" w:hAnsi="Calibri"/>
          <w:b/>
          <w:i/>
          <w:sz w:val="24"/>
          <w:szCs w:val="24"/>
        </w:rPr>
        <w:t>z dnia 17.08</w:t>
      </w:r>
      <w:r w:rsidR="00E31AB4" w:rsidRPr="00F321DF">
        <w:rPr>
          <w:rFonts w:ascii="Calibri" w:hAnsi="Calibri"/>
          <w:b/>
          <w:i/>
          <w:sz w:val="24"/>
          <w:szCs w:val="24"/>
        </w:rPr>
        <w:t>.</w:t>
      </w:r>
      <w:r w:rsidR="00AB43E5" w:rsidRPr="00F321DF">
        <w:rPr>
          <w:rFonts w:ascii="Calibri" w:hAnsi="Calibri"/>
          <w:b/>
          <w:i/>
          <w:sz w:val="24"/>
          <w:szCs w:val="24"/>
        </w:rPr>
        <w:t>2012</w:t>
      </w:r>
      <w:r w:rsidRPr="00F321DF">
        <w:rPr>
          <w:rFonts w:ascii="Calibri" w:hAnsi="Calibri"/>
          <w:b/>
          <w:i/>
          <w:sz w:val="24"/>
          <w:szCs w:val="24"/>
        </w:rPr>
        <w:t xml:space="preserve"> r.</w:t>
      </w:r>
    </w:p>
    <w:p w:rsidR="007678F5" w:rsidRPr="00F321DF" w:rsidRDefault="007678F5" w:rsidP="007678F5">
      <w:pPr>
        <w:jc w:val="center"/>
        <w:rPr>
          <w:rFonts w:ascii="Calibri" w:hAnsi="Calibri"/>
          <w:b/>
          <w:i/>
          <w:sz w:val="24"/>
          <w:szCs w:val="24"/>
        </w:rPr>
      </w:pPr>
      <w:r w:rsidRPr="00F321DF">
        <w:rPr>
          <w:rFonts w:ascii="Calibri" w:hAnsi="Calibri"/>
          <w:b/>
          <w:i/>
          <w:sz w:val="24"/>
          <w:szCs w:val="24"/>
        </w:rPr>
        <w:t xml:space="preserve"> na zapytania złożone przez Wykonawców w toku postępowania o zamówienie publiczne</w:t>
      </w:r>
      <w:r w:rsidR="00B025F8" w:rsidRPr="00F321DF">
        <w:rPr>
          <w:rFonts w:ascii="Calibri" w:hAnsi="Calibri"/>
          <w:b/>
          <w:i/>
          <w:sz w:val="24"/>
          <w:szCs w:val="24"/>
        </w:rPr>
        <w:t xml:space="preserve"> pn.</w:t>
      </w:r>
      <w:r w:rsidRPr="00F321DF">
        <w:rPr>
          <w:rFonts w:ascii="Calibri" w:hAnsi="Calibri"/>
          <w:b/>
          <w:i/>
          <w:sz w:val="24"/>
          <w:szCs w:val="24"/>
        </w:rPr>
        <w:t xml:space="preserve"> </w:t>
      </w:r>
    </w:p>
    <w:p w:rsidR="007678F5" w:rsidRPr="00F321DF" w:rsidRDefault="007678F5" w:rsidP="007678F5">
      <w:pPr>
        <w:jc w:val="center"/>
        <w:rPr>
          <w:rFonts w:ascii="Calibri" w:hAnsi="Calibri"/>
          <w:b/>
          <w:i/>
          <w:sz w:val="24"/>
          <w:szCs w:val="24"/>
        </w:rPr>
      </w:pPr>
    </w:p>
    <w:p w:rsidR="007678F5" w:rsidRPr="00F321DF" w:rsidRDefault="00A37F32" w:rsidP="00B025F8">
      <w:pPr>
        <w:jc w:val="center"/>
        <w:rPr>
          <w:rFonts w:ascii="Calibri" w:hAnsi="Calibri" w:cs="Tahoma"/>
          <w:b/>
          <w:i/>
          <w:sz w:val="24"/>
          <w:szCs w:val="24"/>
        </w:rPr>
      </w:pPr>
      <w:r w:rsidRPr="00F321DF">
        <w:rPr>
          <w:rFonts w:ascii="Calibri" w:hAnsi="Calibri" w:cs="Tahoma"/>
          <w:b/>
          <w:i/>
          <w:sz w:val="24"/>
          <w:szCs w:val="24"/>
        </w:rPr>
        <w:t>MODERNIZACJA LINII TECHNOLOGICZNEJ SEGREGACJI ODPADÓW WRAZ Z DOSTAWĄ I WYMIANĄ URZĄDZEŃ W RAMACH PROJEKTU PN: ROZWÓJ SELEKTYWNEJ ZBIÓRKI ODPADÓW BIODEGRADOWALNYCH WRAZ Z ROZBUDOWĄ ZOISOK W LEŚNIE GÓRNYM</w:t>
      </w:r>
      <w:r w:rsidR="00B025F8" w:rsidRPr="00F321DF">
        <w:rPr>
          <w:rFonts w:ascii="Calibri" w:hAnsi="Calibri" w:cs="Tahoma"/>
          <w:b/>
          <w:i/>
          <w:sz w:val="24"/>
          <w:szCs w:val="24"/>
        </w:rPr>
        <w:t xml:space="preserve"> </w:t>
      </w:r>
    </w:p>
    <w:p w:rsidR="007678F5" w:rsidRPr="00F321DF" w:rsidRDefault="007678F5" w:rsidP="007678F5">
      <w:pPr>
        <w:rPr>
          <w:rFonts w:ascii="Calibri" w:hAnsi="Calibri"/>
          <w:b/>
          <w:i/>
          <w:sz w:val="24"/>
          <w:szCs w:val="24"/>
        </w:rPr>
      </w:pPr>
    </w:p>
    <w:p w:rsidR="007678F5" w:rsidRPr="00F321DF" w:rsidRDefault="007678F5" w:rsidP="007678F5">
      <w:pPr>
        <w:rPr>
          <w:rFonts w:ascii="Calibri" w:hAnsi="Calibri"/>
          <w:sz w:val="24"/>
          <w:szCs w:val="24"/>
        </w:rPr>
      </w:pPr>
    </w:p>
    <w:p w:rsidR="007678F5" w:rsidRPr="00F321DF" w:rsidRDefault="007678F5" w:rsidP="007678F5">
      <w:pPr>
        <w:jc w:val="both"/>
        <w:rPr>
          <w:rFonts w:ascii="Calibri" w:hAnsi="Calibri"/>
          <w:sz w:val="24"/>
          <w:szCs w:val="24"/>
        </w:rPr>
      </w:pPr>
      <w:r w:rsidRPr="00F321DF">
        <w:rPr>
          <w:rFonts w:ascii="Calibri" w:hAnsi="Calibri"/>
          <w:sz w:val="24"/>
          <w:szCs w:val="24"/>
        </w:rPr>
        <w:t>Mając na uwadze treść art. 38 ust. 2 ustawy Prawo zamówień publicznych oraz zapisy SIWZ poniżej przekazujemy treść zapytań Wykonawców wraz z wyjaśnieniami Zamawiającego.</w:t>
      </w:r>
    </w:p>
    <w:p w:rsidR="00841657" w:rsidRPr="00F321DF" w:rsidRDefault="00841657" w:rsidP="000D1716">
      <w:pPr>
        <w:jc w:val="both"/>
        <w:rPr>
          <w:rFonts w:ascii="Calibri" w:hAnsi="Calibri" w:cs="Tahoma"/>
          <w:sz w:val="24"/>
          <w:szCs w:val="24"/>
        </w:rPr>
      </w:pPr>
    </w:p>
    <w:p w:rsidR="00841657" w:rsidRPr="00F321DF" w:rsidRDefault="00841657" w:rsidP="000D1716">
      <w:pPr>
        <w:jc w:val="both"/>
        <w:rPr>
          <w:rFonts w:ascii="Calibri" w:hAnsi="Calibri" w:cs="Tahoma"/>
          <w:sz w:val="24"/>
          <w:szCs w:val="24"/>
        </w:rPr>
      </w:pPr>
    </w:p>
    <w:p w:rsidR="00FE6A69" w:rsidRPr="00F321DF" w:rsidRDefault="00361DC3" w:rsidP="00495B7F">
      <w:pPr>
        <w:jc w:val="both"/>
        <w:rPr>
          <w:rFonts w:ascii="Calibri" w:hAnsi="Calibri" w:cs="Tahoma"/>
          <w:b/>
          <w:sz w:val="24"/>
          <w:szCs w:val="24"/>
          <w:u w:val="single"/>
        </w:rPr>
      </w:pPr>
      <w:r w:rsidRPr="00F321DF">
        <w:rPr>
          <w:rFonts w:ascii="Calibri" w:hAnsi="Calibri" w:cs="Tahoma"/>
          <w:b/>
          <w:sz w:val="24"/>
          <w:szCs w:val="24"/>
          <w:u w:val="single"/>
        </w:rPr>
        <w:t>Pytania wykonawców:</w:t>
      </w:r>
    </w:p>
    <w:p w:rsidR="00A37F32" w:rsidRPr="00F321DF" w:rsidRDefault="00A37F32" w:rsidP="00A37F32">
      <w:pPr>
        <w:numPr>
          <w:ilvl w:val="0"/>
          <w:numId w:val="9"/>
        </w:numPr>
        <w:tabs>
          <w:tab w:val="clear" w:pos="720"/>
          <w:tab w:val="num" w:pos="520"/>
        </w:tabs>
        <w:ind w:left="520" w:hanging="520"/>
        <w:jc w:val="both"/>
        <w:rPr>
          <w:rFonts w:ascii="Calibri" w:hAnsi="Calibri" w:cs="Tahoma"/>
          <w:sz w:val="24"/>
          <w:szCs w:val="24"/>
        </w:rPr>
      </w:pPr>
      <w:r w:rsidRPr="00F321DF">
        <w:rPr>
          <w:rFonts w:ascii="Calibri" w:hAnsi="Calibri" w:cs="Tahoma"/>
          <w:sz w:val="24"/>
          <w:szCs w:val="24"/>
        </w:rPr>
        <w:t>W rozdziale III Opis przedmiotu zamówienia, pkt. 9.3 Odbiór balastu.</w:t>
      </w:r>
    </w:p>
    <w:p w:rsidR="00F321DF" w:rsidRPr="00F321DF" w:rsidRDefault="00A37F32" w:rsidP="00A37F32">
      <w:pPr>
        <w:ind w:left="520"/>
        <w:jc w:val="both"/>
        <w:rPr>
          <w:rFonts w:ascii="Calibri" w:hAnsi="Calibri" w:cs="Tahoma"/>
          <w:sz w:val="24"/>
          <w:szCs w:val="24"/>
        </w:rPr>
      </w:pPr>
      <w:r w:rsidRPr="00F321DF">
        <w:rPr>
          <w:rFonts w:ascii="Calibri" w:hAnsi="Calibri" w:cs="Tahoma"/>
          <w:sz w:val="24"/>
          <w:szCs w:val="24"/>
        </w:rPr>
        <w:t>Odbiór balastu realizowany jest dwuwariantowo. W wariancie podstawowym, dla którego wydajność linii powinna wynosić 60 tys. Mg/rok, odpady balastowe z przenośnika sortowniczego kierowane są na przenośnik wznoszący, a następnie na zamontowany na zewnątrz hali przenośnik rewersyjny, za pomocą którego odpady ładowane są do praso kontenerów ustawionych po obu stronach tego przenośnika, co umożliwia ich naprzemienne ładowanie. Konstrukcja praso kontenerów powinna umożliwić odłączenie</w:t>
      </w:r>
      <w:r w:rsidR="00F321DF" w:rsidRPr="00F321DF">
        <w:rPr>
          <w:rFonts w:ascii="Calibri" w:hAnsi="Calibri" w:cs="Tahoma"/>
          <w:sz w:val="24"/>
          <w:szCs w:val="24"/>
        </w:rPr>
        <w:t xml:space="preserve"> kontenerów od pras w czasie transportu sprasowanych odpadów poza zakład. Układ załadowczy należy wyposażyć w osłony umożliwiające rozwiewanie odpadów podczas załadunku.</w:t>
      </w:r>
    </w:p>
    <w:p w:rsidR="00716D6F" w:rsidRDefault="00F321DF" w:rsidP="00A37F32">
      <w:pPr>
        <w:ind w:left="520"/>
        <w:jc w:val="both"/>
        <w:rPr>
          <w:rFonts w:ascii="Calibri" w:hAnsi="Calibri" w:cs="Tahoma"/>
          <w:sz w:val="24"/>
          <w:szCs w:val="24"/>
        </w:rPr>
      </w:pPr>
      <w:r w:rsidRPr="00F321DF">
        <w:rPr>
          <w:rFonts w:ascii="Calibri" w:hAnsi="Calibri" w:cs="Tahoma"/>
          <w:sz w:val="24"/>
          <w:szCs w:val="24"/>
        </w:rPr>
        <w:t>Czy Zamawiający przewidział wykonanie płyty betonowej nośnej na zewnątrz hali w celu zamontowania konstrukcji wsporczej przenośnika załadowczego oraz posadowienia praso kontenerów oraz czy zostanie ta płyta wykonana przez Zamawiającego?</w:t>
      </w:r>
      <w:r w:rsidR="00AB43E5" w:rsidRPr="00F321DF">
        <w:rPr>
          <w:rFonts w:ascii="Calibri" w:hAnsi="Calibri" w:cs="Tahoma"/>
          <w:sz w:val="24"/>
          <w:szCs w:val="24"/>
        </w:rPr>
        <w:t xml:space="preserve"> </w:t>
      </w:r>
    </w:p>
    <w:p w:rsidR="00A1649A" w:rsidRPr="00F321DF" w:rsidRDefault="00A1649A" w:rsidP="00A1649A">
      <w:pPr>
        <w:numPr>
          <w:ilvl w:val="0"/>
          <w:numId w:val="9"/>
        </w:numPr>
        <w:tabs>
          <w:tab w:val="clear" w:pos="720"/>
          <w:tab w:val="num" w:pos="520"/>
        </w:tabs>
        <w:ind w:left="520" w:hanging="520"/>
        <w:jc w:val="both"/>
        <w:rPr>
          <w:rFonts w:ascii="Calibri" w:hAnsi="Calibri" w:cs="Tahoma"/>
          <w:sz w:val="24"/>
          <w:szCs w:val="24"/>
        </w:rPr>
      </w:pPr>
      <w:r>
        <w:rPr>
          <w:rFonts w:ascii="Calibri" w:hAnsi="Calibri" w:cs="Tahoma"/>
          <w:sz w:val="24"/>
          <w:szCs w:val="24"/>
        </w:rPr>
        <w:t>Rozdział</w:t>
      </w:r>
      <w:r w:rsidRPr="00F321DF">
        <w:rPr>
          <w:rFonts w:ascii="Calibri" w:hAnsi="Calibri" w:cs="Tahoma"/>
          <w:sz w:val="24"/>
          <w:szCs w:val="24"/>
        </w:rPr>
        <w:t xml:space="preserve"> III Opis przedmiotu zam</w:t>
      </w:r>
      <w:r>
        <w:rPr>
          <w:rFonts w:ascii="Calibri" w:hAnsi="Calibri" w:cs="Tahoma"/>
          <w:sz w:val="24"/>
          <w:szCs w:val="24"/>
        </w:rPr>
        <w:t>ówienia, pkt. 10 Dodatkowe warunki organizacyjno-technologiczne konieczne dla prowadzenia segregacji odpadów w czasie realizacji prac modernizacyjnych linii technologicznej</w:t>
      </w:r>
      <w:r w:rsidRPr="00F321DF">
        <w:rPr>
          <w:rFonts w:ascii="Calibri" w:hAnsi="Calibri" w:cs="Tahoma"/>
          <w:sz w:val="24"/>
          <w:szCs w:val="24"/>
        </w:rPr>
        <w:t>.</w:t>
      </w:r>
    </w:p>
    <w:p w:rsidR="00A1649A" w:rsidRPr="00F321DF" w:rsidRDefault="00A1649A" w:rsidP="00A1649A">
      <w:pPr>
        <w:ind w:left="520"/>
        <w:jc w:val="both"/>
        <w:rPr>
          <w:rFonts w:ascii="Calibri" w:hAnsi="Calibri" w:cs="Tahoma"/>
          <w:sz w:val="24"/>
          <w:szCs w:val="24"/>
        </w:rPr>
      </w:pPr>
      <w:r>
        <w:rPr>
          <w:rFonts w:ascii="Calibri" w:hAnsi="Calibri" w:cs="Tahoma"/>
          <w:sz w:val="24"/>
          <w:szCs w:val="24"/>
        </w:rPr>
        <w:t xml:space="preserve">„Zamawiający wymaga, aby Wykonawca zapewnił możliwość prowadzenia segregacji na prowizorycznie zestawionej linii w czasie prowadzenia robót związanych z wymianą linii segregacji. Linia prowizoryczne powinna się składać z dostarczonego przesiewacza dyskowego oraz zdemontowanych przenośników „starej linii” (tylko segregacja mechaniczna), które należy ustawić doraźnie na placu magazynowym obok hali segregacji A1. Po zdemontowaniu sita bębnowego należy zastąpić nim przesiewacz w linii prowizorycznej …” </w:t>
      </w:r>
      <w:r w:rsidRPr="00F321DF">
        <w:rPr>
          <w:rFonts w:ascii="Calibri" w:hAnsi="Calibri" w:cs="Tahoma"/>
          <w:sz w:val="24"/>
          <w:szCs w:val="24"/>
        </w:rPr>
        <w:t xml:space="preserve"> </w:t>
      </w:r>
    </w:p>
    <w:p w:rsidR="00A1649A" w:rsidRDefault="00A1649A" w:rsidP="00A1649A">
      <w:pPr>
        <w:ind w:left="520"/>
        <w:jc w:val="both"/>
        <w:rPr>
          <w:rFonts w:ascii="Calibri" w:hAnsi="Calibri" w:cs="Tahoma"/>
          <w:sz w:val="24"/>
          <w:szCs w:val="24"/>
        </w:rPr>
      </w:pPr>
      <w:r>
        <w:rPr>
          <w:rFonts w:ascii="Calibri" w:hAnsi="Calibri" w:cs="Tahoma"/>
          <w:sz w:val="24"/>
          <w:szCs w:val="24"/>
        </w:rPr>
        <w:t>Czy Zamawiający wyraża zgodę na wykorzystanie istniejącego sita bębnowego do prowizorycznej segregacji mechanicznej zamiast przesiewacza dyskowego?</w:t>
      </w:r>
    </w:p>
    <w:p w:rsidR="00A1649A" w:rsidRPr="00F321DF" w:rsidRDefault="00A1649A" w:rsidP="00A37F32">
      <w:pPr>
        <w:ind w:left="520"/>
        <w:jc w:val="both"/>
        <w:rPr>
          <w:rFonts w:ascii="Calibri" w:hAnsi="Calibri" w:cs="Tahoma"/>
          <w:sz w:val="24"/>
          <w:szCs w:val="24"/>
        </w:rPr>
      </w:pPr>
    </w:p>
    <w:p w:rsidR="000019A9" w:rsidRPr="00F321DF" w:rsidRDefault="000019A9" w:rsidP="00FE6A69">
      <w:pPr>
        <w:jc w:val="both"/>
        <w:rPr>
          <w:rFonts w:ascii="Calibri" w:hAnsi="Calibri" w:cs="Tahoma"/>
          <w:b/>
          <w:sz w:val="24"/>
          <w:szCs w:val="24"/>
          <w:u w:val="single"/>
        </w:rPr>
      </w:pPr>
    </w:p>
    <w:p w:rsidR="00E35CE5" w:rsidRPr="00F321DF" w:rsidRDefault="00361DC3" w:rsidP="00FE6A69">
      <w:pPr>
        <w:jc w:val="both"/>
        <w:rPr>
          <w:rFonts w:ascii="Calibri" w:hAnsi="Calibri" w:cs="Tahoma"/>
          <w:b/>
          <w:sz w:val="24"/>
          <w:szCs w:val="24"/>
          <w:u w:val="single"/>
        </w:rPr>
      </w:pPr>
      <w:r w:rsidRPr="00F321DF">
        <w:rPr>
          <w:rFonts w:ascii="Calibri" w:hAnsi="Calibri" w:cs="Tahoma"/>
          <w:b/>
          <w:sz w:val="24"/>
          <w:szCs w:val="24"/>
          <w:u w:val="single"/>
        </w:rPr>
        <w:t xml:space="preserve">Wyjaśnienia Zamawiającego: </w:t>
      </w:r>
    </w:p>
    <w:p w:rsidR="00804AAA" w:rsidRPr="00F321DF" w:rsidRDefault="00E35CE5" w:rsidP="00E35CE5">
      <w:pPr>
        <w:ind w:left="1040" w:hanging="1040"/>
        <w:jc w:val="both"/>
        <w:rPr>
          <w:rFonts w:ascii="Calibri" w:hAnsi="Calibri" w:cs="Tahoma"/>
          <w:b/>
          <w:sz w:val="24"/>
          <w:szCs w:val="24"/>
        </w:rPr>
      </w:pPr>
      <w:r w:rsidRPr="00F321DF">
        <w:rPr>
          <w:rFonts w:ascii="Calibri" w:hAnsi="Calibri" w:cs="Tahoma"/>
          <w:sz w:val="24"/>
          <w:szCs w:val="24"/>
        </w:rPr>
        <w:t>Ad. 1.</w:t>
      </w:r>
      <w:r w:rsidRPr="00F321DF">
        <w:rPr>
          <w:rFonts w:ascii="Calibri" w:hAnsi="Calibri" w:cs="Tahoma"/>
          <w:b/>
          <w:sz w:val="24"/>
          <w:szCs w:val="24"/>
        </w:rPr>
        <w:t xml:space="preserve"> </w:t>
      </w:r>
    </w:p>
    <w:p w:rsidR="00F321DF" w:rsidRDefault="00F321DF" w:rsidP="00F321DF">
      <w:pPr>
        <w:jc w:val="both"/>
        <w:rPr>
          <w:rFonts w:ascii="Calibri" w:hAnsi="Calibri"/>
          <w:sz w:val="24"/>
          <w:szCs w:val="24"/>
        </w:rPr>
      </w:pPr>
      <w:r w:rsidRPr="00F321DF">
        <w:rPr>
          <w:rFonts w:ascii="Calibri" w:hAnsi="Calibri"/>
          <w:sz w:val="24"/>
          <w:szCs w:val="24"/>
        </w:rPr>
        <w:t xml:space="preserve">Wykonanie betonowej płyty nośnej zostało przewidziane </w:t>
      </w:r>
      <w:r>
        <w:rPr>
          <w:rFonts w:ascii="Calibri" w:hAnsi="Calibri"/>
          <w:sz w:val="24"/>
          <w:szCs w:val="24"/>
        </w:rPr>
        <w:t>przez Zamawiającego i koszt jej wykonania</w:t>
      </w:r>
      <w:r w:rsidRPr="00F321DF">
        <w:rPr>
          <w:rFonts w:ascii="Calibri" w:hAnsi="Calibri"/>
          <w:sz w:val="24"/>
          <w:szCs w:val="24"/>
        </w:rPr>
        <w:t xml:space="preserve"> poniesie Zamawiający.</w:t>
      </w:r>
    </w:p>
    <w:p w:rsidR="00A1649A" w:rsidRDefault="00A1649A" w:rsidP="00A1649A">
      <w:pPr>
        <w:jc w:val="both"/>
        <w:rPr>
          <w:rFonts w:ascii="Calibri" w:hAnsi="Calibri"/>
          <w:sz w:val="24"/>
          <w:szCs w:val="24"/>
        </w:rPr>
      </w:pPr>
      <w:r>
        <w:rPr>
          <w:rFonts w:ascii="Calibri" w:hAnsi="Calibri"/>
          <w:sz w:val="24"/>
          <w:szCs w:val="24"/>
        </w:rPr>
        <w:t>Ad. 2.</w:t>
      </w:r>
    </w:p>
    <w:p w:rsidR="00A1649A" w:rsidRDefault="00A1649A" w:rsidP="00A1649A">
      <w:pPr>
        <w:jc w:val="both"/>
        <w:rPr>
          <w:rFonts w:ascii="Calibri" w:hAnsi="Calibri"/>
          <w:sz w:val="24"/>
          <w:szCs w:val="24"/>
        </w:rPr>
      </w:pPr>
      <w:r>
        <w:rPr>
          <w:rFonts w:ascii="Calibri" w:hAnsi="Calibri"/>
          <w:sz w:val="24"/>
          <w:szCs w:val="24"/>
        </w:rPr>
        <w:t>Zamawiający wyraża zgodę na wykorzystanie istniejącego sita bębnowego do prowizorycznej segregacji mechanicznej zamiast przesiewacza dyskowego.</w:t>
      </w:r>
    </w:p>
    <w:p w:rsidR="00A1649A" w:rsidRPr="00F321DF" w:rsidRDefault="00A1649A" w:rsidP="00F321DF">
      <w:pPr>
        <w:jc w:val="both"/>
        <w:rPr>
          <w:rFonts w:ascii="Calibri" w:hAnsi="Calibri"/>
          <w:sz w:val="24"/>
          <w:szCs w:val="24"/>
        </w:rPr>
      </w:pPr>
    </w:p>
    <w:p w:rsidR="00337D85" w:rsidRDefault="00337D85" w:rsidP="002C30E4">
      <w:pPr>
        <w:jc w:val="both"/>
        <w:rPr>
          <w:rFonts w:ascii="Century Gothic" w:hAnsi="Century Gothic" w:cs="Tahoma"/>
          <w:sz w:val="24"/>
          <w:szCs w:val="24"/>
        </w:rPr>
      </w:pPr>
    </w:p>
    <w:p w:rsidR="000C5F72" w:rsidRPr="001450B2" w:rsidRDefault="000C5F72" w:rsidP="00FE6A69">
      <w:pPr>
        <w:jc w:val="both"/>
        <w:rPr>
          <w:rFonts w:ascii="Century Gothic" w:hAnsi="Century Gothic" w:cs="Tahoma"/>
          <w:b/>
          <w:sz w:val="24"/>
          <w:szCs w:val="24"/>
        </w:rPr>
      </w:pPr>
    </w:p>
    <w:sectPr w:rsidR="000C5F72" w:rsidRPr="001450B2" w:rsidSect="00A807D2">
      <w:footerReference w:type="even" r:id="rId7"/>
      <w:footerReference w:type="default" r:id="rId8"/>
      <w:pgSz w:w="11907" w:h="16840"/>
      <w:pgMar w:top="851" w:right="851" w:bottom="851" w:left="1701"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4D" w:rsidRDefault="00D94A4D">
      <w:r>
        <w:separator/>
      </w:r>
    </w:p>
  </w:endnote>
  <w:endnote w:type="continuationSeparator" w:id="0">
    <w:p w:rsidR="00D94A4D" w:rsidRDefault="00D94A4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AA" w:rsidRDefault="00804AAA" w:rsidP="00463A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4AAA" w:rsidRDefault="00804AAA" w:rsidP="00A807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AA" w:rsidRPr="00A807D2" w:rsidRDefault="00804AAA" w:rsidP="00463A29">
    <w:pPr>
      <w:pStyle w:val="Stopka"/>
      <w:framePr w:wrap="around" w:vAnchor="text" w:hAnchor="margin" w:xAlign="right" w:y="1"/>
      <w:rPr>
        <w:rStyle w:val="Numerstrony"/>
        <w:rFonts w:ascii="Tahoma" w:hAnsi="Tahoma" w:cs="Tahoma"/>
        <w:sz w:val="24"/>
        <w:szCs w:val="24"/>
      </w:rPr>
    </w:pPr>
    <w:r w:rsidRPr="00A807D2">
      <w:rPr>
        <w:rStyle w:val="Numerstrony"/>
        <w:rFonts w:ascii="Tahoma" w:hAnsi="Tahoma" w:cs="Tahoma"/>
        <w:sz w:val="24"/>
        <w:szCs w:val="24"/>
      </w:rPr>
      <w:fldChar w:fldCharType="begin"/>
    </w:r>
    <w:r w:rsidRPr="00A807D2">
      <w:rPr>
        <w:rStyle w:val="Numerstrony"/>
        <w:rFonts w:ascii="Tahoma" w:hAnsi="Tahoma" w:cs="Tahoma"/>
        <w:sz w:val="24"/>
        <w:szCs w:val="24"/>
      </w:rPr>
      <w:instrText xml:space="preserve">PAGE  </w:instrText>
    </w:r>
    <w:r w:rsidRPr="00A807D2">
      <w:rPr>
        <w:rStyle w:val="Numerstrony"/>
        <w:rFonts w:ascii="Tahoma" w:hAnsi="Tahoma" w:cs="Tahoma"/>
        <w:sz w:val="24"/>
        <w:szCs w:val="24"/>
      </w:rPr>
      <w:fldChar w:fldCharType="separate"/>
    </w:r>
    <w:r w:rsidR="00A1649A">
      <w:rPr>
        <w:rStyle w:val="Numerstrony"/>
        <w:rFonts w:ascii="Tahoma" w:hAnsi="Tahoma" w:cs="Tahoma"/>
        <w:noProof/>
        <w:sz w:val="24"/>
        <w:szCs w:val="24"/>
      </w:rPr>
      <w:t>2</w:t>
    </w:r>
    <w:r w:rsidRPr="00A807D2">
      <w:rPr>
        <w:rStyle w:val="Numerstrony"/>
        <w:rFonts w:ascii="Tahoma" w:hAnsi="Tahoma" w:cs="Tahoma"/>
        <w:sz w:val="24"/>
        <w:szCs w:val="24"/>
      </w:rPr>
      <w:fldChar w:fldCharType="end"/>
    </w:r>
  </w:p>
  <w:p w:rsidR="00804AAA" w:rsidRDefault="00804AAA" w:rsidP="00A807D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4D" w:rsidRDefault="00D94A4D">
      <w:r>
        <w:separator/>
      </w:r>
    </w:p>
  </w:footnote>
  <w:footnote w:type="continuationSeparator" w:id="0">
    <w:p w:rsidR="00D94A4D" w:rsidRDefault="00D94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EE2"/>
    <w:multiLevelType w:val="hybridMultilevel"/>
    <w:tmpl w:val="DC82FAF6"/>
    <w:lvl w:ilvl="0" w:tplc="815E6354">
      <w:start w:val="1"/>
      <w:numFmt w:val="decimal"/>
      <w:lvlText w:val="ad %1."/>
      <w:lvlJc w:val="left"/>
      <w:pPr>
        <w:tabs>
          <w:tab w:val="num" w:pos="360"/>
        </w:tabs>
        <w:ind w:left="360" w:hanging="360"/>
      </w:pPr>
      <w:rPr>
        <w:rFonts w:ascii="Tahoma" w:hAnsi="Tahoma" w:cs="Tahoma"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2D4363"/>
    <w:multiLevelType w:val="hybridMultilevel"/>
    <w:tmpl w:val="F00EF4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745678F"/>
    <w:multiLevelType w:val="multilevel"/>
    <w:tmpl w:val="CD804102"/>
    <w:lvl w:ilvl="0">
      <w:start w:val="1"/>
      <w:numFmt w:val="none"/>
      <w:lvlText w:val="ad.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4404D2"/>
    <w:multiLevelType w:val="hybridMultilevel"/>
    <w:tmpl w:val="02E69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F7C5896"/>
    <w:multiLevelType w:val="hybridMultilevel"/>
    <w:tmpl w:val="9664E998"/>
    <w:lvl w:ilvl="0" w:tplc="23F0FE5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537B6738"/>
    <w:multiLevelType w:val="hybridMultilevel"/>
    <w:tmpl w:val="15629A5C"/>
    <w:lvl w:ilvl="0" w:tplc="27D228F4">
      <w:start w:val="1"/>
      <w:numFmt w:val="decimal"/>
      <w:lvlText w:val="ad %1."/>
      <w:lvlJc w:val="left"/>
      <w:pPr>
        <w:tabs>
          <w:tab w:val="num" w:pos="360"/>
        </w:tabs>
        <w:ind w:left="360" w:hanging="360"/>
      </w:pPr>
      <w:rPr>
        <w:rFonts w:ascii="Tahoma" w:hAnsi="Tahoma" w:cs="Tahoma" w:hint="default"/>
        <w:b/>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60BB368A"/>
    <w:multiLevelType w:val="hybridMultilevel"/>
    <w:tmpl w:val="338E19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EE928CA"/>
    <w:multiLevelType w:val="multilevel"/>
    <w:tmpl w:val="F00EF4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7CF92AF7"/>
    <w:multiLevelType w:val="multilevel"/>
    <w:tmpl w:val="559A821E"/>
    <w:lvl w:ilvl="0">
      <w:start w:val="3"/>
      <w:numFmt w:val="decimal"/>
      <w:lvlText w:val="ad %1."/>
      <w:lvlJc w:val="left"/>
      <w:pPr>
        <w:tabs>
          <w:tab w:val="num" w:pos="360"/>
        </w:tabs>
        <w:ind w:left="360" w:hanging="360"/>
      </w:pPr>
      <w:rPr>
        <w:rFonts w:ascii="Tahoma" w:hAnsi="Tahoma" w:cs="Tahoma"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7"/>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9"/>
  <w:hyphenationZone w:val="425"/>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9275B"/>
    <w:rsid w:val="000019A9"/>
    <w:rsid w:val="00025EAD"/>
    <w:rsid w:val="0006361C"/>
    <w:rsid w:val="00075693"/>
    <w:rsid w:val="00075E7F"/>
    <w:rsid w:val="000C5F72"/>
    <w:rsid w:val="000D0B5B"/>
    <w:rsid w:val="000D1716"/>
    <w:rsid w:val="000F11BC"/>
    <w:rsid w:val="0011294E"/>
    <w:rsid w:val="001450B2"/>
    <w:rsid w:val="001846C5"/>
    <w:rsid w:val="001A5AAA"/>
    <w:rsid w:val="001D5533"/>
    <w:rsid w:val="001E0D69"/>
    <w:rsid w:val="002122F7"/>
    <w:rsid w:val="002212CD"/>
    <w:rsid w:val="002576BF"/>
    <w:rsid w:val="002806BB"/>
    <w:rsid w:val="002C2175"/>
    <w:rsid w:val="002C30E4"/>
    <w:rsid w:val="002C75F0"/>
    <w:rsid w:val="002D23E6"/>
    <w:rsid w:val="002D619B"/>
    <w:rsid w:val="002E7970"/>
    <w:rsid w:val="003037D3"/>
    <w:rsid w:val="00303E3F"/>
    <w:rsid w:val="00310738"/>
    <w:rsid w:val="00333F82"/>
    <w:rsid w:val="00337D85"/>
    <w:rsid w:val="00361DC3"/>
    <w:rsid w:val="00397CB8"/>
    <w:rsid w:val="003A55EE"/>
    <w:rsid w:val="003C752E"/>
    <w:rsid w:val="00420357"/>
    <w:rsid w:val="00463A29"/>
    <w:rsid w:val="00473772"/>
    <w:rsid w:val="00492816"/>
    <w:rsid w:val="00494A9D"/>
    <w:rsid w:val="00495B7F"/>
    <w:rsid w:val="004A544F"/>
    <w:rsid w:val="004E2CE8"/>
    <w:rsid w:val="00571696"/>
    <w:rsid w:val="005740B6"/>
    <w:rsid w:val="005C0796"/>
    <w:rsid w:val="00617D84"/>
    <w:rsid w:val="00643C34"/>
    <w:rsid w:val="0068433A"/>
    <w:rsid w:val="006949D2"/>
    <w:rsid w:val="006C315C"/>
    <w:rsid w:val="006D7144"/>
    <w:rsid w:val="006E0BF3"/>
    <w:rsid w:val="00716D6F"/>
    <w:rsid w:val="0072332E"/>
    <w:rsid w:val="007678F5"/>
    <w:rsid w:val="007C0589"/>
    <w:rsid w:val="00804AAA"/>
    <w:rsid w:val="008075AE"/>
    <w:rsid w:val="00824B3F"/>
    <w:rsid w:val="00841657"/>
    <w:rsid w:val="00841D4D"/>
    <w:rsid w:val="00855C0E"/>
    <w:rsid w:val="008618F4"/>
    <w:rsid w:val="00864CA9"/>
    <w:rsid w:val="00865146"/>
    <w:rsid w:val="00867D36"/>
    <w:rsid w:val="008B26DF"/>
    <w:rsid w:val="008C6425"/>
    <w:rsid w:val="00906C27"/>
    <w:rsid w:val="00920489"/>
    <w:rsid w:val="00930F7E"/>
    <w:rsid w:val="00966642"/>
    <w:rsid w:val="00977764"/>
    <w:rsid w:val="009F5A80"/>
    <w:rsid w:val="00A1649A"/>
    <w:rsid w:val="00A37F32"/>
    <w:rsid w:val="00A45B9C"/>
    <w:rsid w:val="00A679F7"/>
    <w:rsid w:val="00A807D2"/>
    <w:rsid w:val="00A84EA7"/>
    <w:rsid w:val="00A938E1"/>
    <w:rsid w:val="00A97246"/>
    <w:rsid w:val="00AB398A"/>
    <w:rsid w:val="00AB43E5"/>
    <w:rsid w:val="00B025F8"/>
    <w:rsid w:val="00B20E25"/>
    <w:rsid w:val="00B55E18"/>
    <w:rsid w:val="00B910F2"/>
    <w:rsid w:val="00B9275B"/>
    <w:rsid w:val="00BB21B8"/>
    <w:rsid w:val="00BB3EE3"/>
    <w:rsid w:val="00BC2DD1"/>
    <w:rsid w:val="00BF30EB"/>
    <w:rsid w:val="00C6250A"/>
    <w:rsid w:val="00C824F9"/>
    <w:rsid w:val="00CA469E"/>
    <w:rsid w:val="00CA5666"/>
    <w:rsid w:val="00CB1979"/>
    <w:rsid w:val="00CB34C3"/>
    <w:rsid w:val="00CC1C2C"/>
    <w:rsid w:val="00CD3ECD"/>
    <w:rsid w:val="00D14D42"/>
    <w:rsid w:val="00D94A4D"/>
    <w:rsid w:val="00E31AB4"/>
    <w:rsid w:val="00E35CE5"/>
    <w:rsid w:val="00E9306C"/>
    <w:rsid w:val="00EA38C1"/>
    <w:rsid w:val="00EA506C"/>
    <w:rsid w:val="00EA6AFE"/>
    <w:rsid w:val="00EB699C"/>
    <w:rsid w:val="00ED4821"/>
    <w:rsid w:val="00EF416E"/>
    <w:rsid w:val="00F01590"/>
    <w:rsid w:val="00F16DA2"/>
    <w:rsid w:val="00F321DF"/>
    <w:rsid w:val="00F40323"/>
    <w:rsid w:val="00F576F5"/>
    <w:rsid w:val="00F651E3"/>
    <w:rsid w:val="00FD33FF"/>
    <w:rsid w:val="00FE6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6A69"/>
    <w:pPr>
      <w:overflowPunct w:val="0"/>
      <w:autoSpaceDE w:val="0"/>
      <w:autoSpaceDN w:val="0"/>
      <w:adjustRightInd w:val="0"/>
      <w:textAlignment w:val="baseline"/>
    </w:pPr>
    <w:rPr>
      <w:sz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B910F2"/>
    <w:rPr>
      <w:rFonts w:ascii="Tahoma" w:hAnsi="Tahoma" w:cs="Tahoma"/>
      <w:sz w:val="16"/>
      <w:szCs w:val="16"/>
    </w:rPr>
  </w:style>
  <w:style w:type="character" w:styleId="Hipercze">
    <w:name w:val="Hyperlink"/>
    <w:basedOn w:val="Domylnaczcionkaakapitu"/>
    <w:rsid w:val="00494A9D"/>
    <w:rPr>
      <w:color w:val="0000FF"/>
      <w:u w:val="single"/>
    </w:rPr>
  </w:style>
  <w:style w:type="paragraph" w:styleId="Tekstpodstawowy2">
    <w:name w:val="Body Text 2"/>
    <w:basedOn w:val="Normalny"/>
    <w:rsid w:val="00A84EA7"/>
    <w:pPr>
      <w:jc w:val="both"/>
    </w:pPr>
    <w:rPr>
      <w:rFonts w:ascii="Arial" w:hAnsi="Arial" w:cs="Arial"/>
      <w:sz w:val="24"/>
    </w:rPr>
  </w:style>
  <w:style w:type="paragraph" w:styleId="Stopka">
    <w:name w:val="footer"/>
    <w:basedOn w:val="Normalny"/>
    <w:rsid w:val="00A807D2"/>
    <w:pPr>
      <w:tabs>
        <w:tab w:val="center" w:pos="4536"/>
        <w:tab w:val="right" w:pos="9072"/>
      </w:tabs>
    </w:pPr>
  </w:style>
  <w:style w:type="character" w:styleId="Numerstrony">
    <w:name w:val="page number"/>
    <w:basedOn w:val="Domylnaczcionkaakapitu"/>
    <w:rsid w:val="00A807D2"/>
  </w:style>
  <w:style w:type="paragraph" w:styleId="Nagwek">
    <w:name w:val="header"/>
    <w:basedOn w:val="Normalny"/>
    <w:rsid w:val="00A807D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67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Police, dnia 07</vt:lpstr>
    </vt:vector>
  </TitlesOfParts>
  <Company>UG Police</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dnia 07</dc:title>
  <dc:subject/>
  <dc:creator>user_4</dc:creator>
  <cp:keywords/>
  <cp:lastModifiedBy>maciek</cp:lastModifiedBy>
  <cp:revision>2</cp:revision>
  <cp:lastPrinted>2012-08-17T06:32:00Z</cp:lastPrinted>
  <dcterms:created xsi:type="dcterms:W3CDTF">2012-08-17T12:18:00Z</dcterms:created>
  <dcterms:modified xsi:type="dcterms:W3CDTF">2012-08-17T12:18:00Z</dcterms:modified>
</cp:coreProperties>
</file>