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9956D4"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12</w:t>
      </w:r>
      <w:r w:rsidR="0052335C">
        <w:rPr>
          <w:rFonts w:asciiTheme="minorHAnsi" w:hAnsiTheme="minorHAnsi" w:cs="Arial"/>
          <w:b/>
          <w:color w:val="000000" w:themeColor="text1"/>
        </w:rPr>
        <w:t xml:space="preserve"> grudnia</w:t>
      </w:r>
      <w:r w:rsidR="003E6C3C">
        <w:rPr>
          <w:rFonts w:asciiTheme="minorHAnsi" w:hAnsiTheme="minorHAnsi" w:cs="Arial"/>
          <w:b/>
          <w:color w:val="000000" w:themeColor="text1"/>
        </w:rPr>
        <w:t xml:space="preserve"> 2019</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4420DD" w:rsidRDefault="00F26E45" w:rsidP="004420DD">
      <w:pPr>
        <w:jc w:val="both"/>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D93536" w:rsidRPr="00D93536">
        <w:rPr>
          <w:rFonts w:ascii="Calibri" w:hAnsi="Calibri"/>
          <w:sz w:val="22"/>
          <w:szCs w:val="22"/>
          <w:lang w:eastAsia="en-US"/>
        </w:rPr>
        <w:t>w trybie przetargu nieograniczonego</w:t>
      </w:r>
      <w:r w:rsidR="00D93536">
        <w:rPr>
          <w:rFonts w:ascii="Calibri" w:hAnsi="Calibri"/>
          <w:sz w:val="22"/>
          <w:szCs w:val="22"/>
          <w:lang w:eastAsia="en-US"/>
        </w:rPr>
        <w:t xml:space="preserve"> </w:t>
      </w:r>
      <w:r w:rsidR="00C317B5">
        <w:rPr>
          <w:rFonts w:ascii="Calibri" w:hAnsi="Calibri"/>
          <w:sz w:val="22"/>
          <w:szCs w:val="22"/>
          <w:lang w:eastAsia="en-US"/>
        </w:rPr>
        <w:t xml:space="preserve">zgodnie z art. 39 </w:t>
      </w:r>
      <w:r w:rsidR="00D93536" w:rsidRPr="00D93536">
        <w:rPr>
          <w:rFonts w:ascii="Calibri" w:hAnsi="Calibri"/>
          <w:sz w:val="22"/>
          <w:szCs w:val="22"/>
          <w:lang w:eastAsia="en-US"/>
        </w:rPr>
        <w:t>ustawy z dnia 29 stycznia 2004 r. Prawo zamó</w:t>
      </w:r>
      <w:r w:rsidR="00D93536">
        <w:rPr>
          <w:rFonts w:ascii="Calibri" w:hAnsi="Calibri"/>
          <w:sz w:val="22"/>
          <w:szCs w:val="22"/>
          <w:lang w:eastAsia="en-US"/>
        </w:rPr>
        <w:t>wień publicznych (Dz. U. z 2019 r.,</w:t>
      </w:r>
    </w:p>
    <w:p w:rsidR="00D93536" w:rsidRPr="00D93536" w:rsidRDefault="00D93536" w:rsidP="004420DD">
      <w:pPr>
        <w:jc w:val="both"/>
        <w:rPr>
          <w:rFonts w:ascii="Calibri" w:hAnsi="Calibri"/>
          <w:sz w:val="22"/>
          <w:szCs w:val="22"/>
          <w:lang w:eastAsia="en-US"/>
        </w:rPr>
      </w:pPr>
      <w:r>
        <w:rPr>
          <w:rFonts w:ascii="Calibri" w:hAnsi="Calibri"/>
          <w:sz w:val="22"/>
          <w:szCs w:val="22"/>
          <w:lang w:eastAsia="en-US"/>
        </w:rPr>
        <w:t xml:space="preserve"> poz. 1843</w:t>
      </w:r>
      <w:r w:rsidRPr="00D93536">
        <w:rPr>
          <w:rFonts w:ascii="Calibri" w:hAnsi="Calibri"/>
          <w:sz w:val="22"/>
          <w:szCs w:val="22"/>
          <w:lang w:eastAsia="en-US"/>
        </w:rPr>
        <w:t xml:space="preserve"> </w:t>
      </w:r>
      <w:r>
        <w:rPr>
          <w:rFonts w:ascii="Calibri" w:hAnsi="Calibri"/>
          <w:sz w:val="22"/>
          <w:szCs w:val="22"/>
          <w:lang w:eastAsia="en-US"/>
        </w:rPr>
        <w:t xml:space="preserve">z </w:t>
      </w:r>
      <w:proofErr w:type="spellStart"/>
      <w:r>
        <w:rPr>
          <w:rFonts w:ascii="Calibri" w:hAnsi="Calibri"/>
          <w:sz w:val="22"/>
          <w:szCs w:val="22"/>
          <w:lang w:eastAsia="en-US"/>
        </w:rPr>
        <w:t>późn</w:t>
      </w:r>
      <w:proofErr w:type="spellEnd"/>
      <w:r>
        <w:rPr>
          <w:rFonts w:ascii="Calibri" w:hAnsi="Calibri"/>
          <w:sz w:val="22"/>
          <w:szCs w:val="22"/>
          <w:lang w:eastAsia="en-US"/>
        </w:rPr>
        <w:t>. zm.).</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203111" w:rsidP="00203111">
      <w:pPr>
        <w:spacing w:before="200" w:after="200" w:line="276" w:lineRule="auto"/>
        <w:outlineLvl w:val="1"/>
        <w:rPr>
          <w:rFonts w:asciiTheme="minorHAnsi" w:hAnsiTheme="minorHAnsi"/>
          <w:b/>
          <w:bCs/>
          <w:lang w:eastAsia="en-US"/>
        </w:rPr>
      </w:pPr>
      <w:bookmarkStart w:id="2" w:name="_Toc354469314"/>
      <w:r w:rsidRPr="00203111">
        <w:rPr>
          <w:rFonts w:asciiTheme="minorHAnsi" w:hAnsiTheme="minorHAnsi"/>
          <w:b/>
          <w:bCs/>
          <w:lang w:eastAsia="en-US"/>
        </w:rPr>
        <w:t xml:space="preserve">Zamówienia </w:t>
      </w:r>
      <w:bookmarkEnd w:id="2"/>
      <w:r w:rsidRPr="00203111">
        <w:rPr>
          <w:rFonts w:asciiTheme="minorHAnsi" w:hAnsiTheme="minorHAnsi"/>
          <w:b/>
          <w:bCs/>
          <w:lang w:eastAsia="en-US"/>
        </w:rPr>
        <w:t>na podst. art. 67 ust. 1 pkt 6</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980DE4">
        <w:rPr>
          <w:rFonts w:asciiTheme="minorHAnsi" w:hAnsiTheme="minorHAnsi" w:cs="Arial"/>
          <w:color w:val="000000" w:themeColor="text1"/>
          <w:sz w:val="22"/>
          <w:szCs w:val="22"/>
          <w:lang w:eastAsia="en-US"/>
        </w:rPr>
        <w:t>stanowić będzie nie więcej niż 5</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lastRenderedPageBreak/>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52335C">
        <w:rPr>
          <w:rFonts w:asciiTheme="minorHAnsi" w:hAnsiTheme="minorHAnsi" w:cs="Arial"/>
          <w:color w:val="000000" w:themeColor="text1"/>
        </w:rPr>
        <w:t>od 01.01.2020 r. do 31.12.2020</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5D10B8">
        <w:rPr>
          <w:rFonts w:asciiTheme="minorHAnsi" w:hAnsiTheme="minorHAnsi" w:cs="Arial"/>
          <w:color w:val="000000" w:themeColor="text1"/>
          <w:sz w:val="22"/>
          <w:szCs w:val="22"/>
          <w:lang w:eastAsia="en-US"/>
        </w:rPr>
        <w:t>r. Prawo pocztowe (Dz. U. z 2018 r., poz. 2188 ze zm.</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lastRenderedPageBreak/>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wykazy lub formularze sporządzone na załączonych do SIWZ wzorach, składa i podpisuje w imieniu wszystkich </w:t>
      </w:r>
      <w:r w:rsidRPr="000E339C">
        <w:rPr>
          <w:rFonts w:asciiTheme="minorHAnsi" w:hAnsiTheme="minorHAnsi" w:cs="Arial"/>
          <w:color w:val="000000" w:themeColor="text1"/>
          <w:sz w:val="22"/>
          <w:szCs w:val="22"/>
          <w:lang w:eastAsia="en-US"/>
        </w:rPr>
        <w:lastRenderedPageBreak/>
        <w:t>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4420DD">
        <w:rPr>
          <w:rFonts w:asciiTheme="minorHAnsi" w:hAnsiTheme="minorHAnsi" w:cs="Arial"/>
          <w:b/>
          <w:color w:val="000000" w:themeColor="text1"/>
          <w:u w:val="single"/>
        </w:rPr>
        <w:t>terminie do dnia 13</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D15B50">
        <w:rPr>
          <w:rFonts w:asciiTheme="minorHAnsi" w:hAnsiTheme="minorHAnsi" w:cs="Arial"/>
          <w:b/>
          <w:color w:val="000000" w:themeColor="text1"/>
          <w:u w:val="single"/>
        </w:rPr>
        <w:t xml:space="preserve"> 2019</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4420DD">
        <w:rPr>
          <w:rFonts w:asciiTheme="minorHAnsi" w:hAnsiTheme="minorHAnsi" w:cs="Arial"/>
          <w:color w:val="000000" w:themeColor="text1"/>
        </w:rPr>
        <w:t>13</w:t>
      </w:r>
      <w:r w:rsidR="0052335C">
        <w:rPr>
          <w:rFonts w:asciiTheme="minorHAnsi" w:hAnsiTheme="minorHAnsi" w:cs="Arial"/>
          <w:color w:val="000000" w:themeColor="text1"/>
        </w:rPr>
        <w:t>.12.</w:t>
      </w:r>
      <w:r w:rsidR="00D15B50">
        <w:rPr>
          <w:rFonts w:asciiTheme="minorHAnsi" w:hAnsiTheme="minorHAnsi" w:cs="Arial"/>
          <w:color w:val="000000" w:themeColor="text1"/>
        </w:rPr>
        <w:t>2019</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57588D">
        <w:rPr>
          <w:rFonts w:asciiTheme="minorHAnsi" w:hAnsiTheme="minorHAnsi" w:cs="Arial"/>
          <w:color w:val="000000" w:themeColor="text1"/>
        </w:rPr>
        <w:t>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5E3BBA">
        <w:rPr>
          <w:rFonts w:asciiTheme="minorHAnsi" w:eastAsia="Calibri" w:hAnsiTheme="minorHAnsi" w:cs="Arial"/>
          <w:color w:val="000000" w:themeColor="text1"/>
          <w:lang w:eastAsia="en-US"/>
        </w:rPr>
        <w:t>ku VAT za usługi pocztowe w 2020</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lastRenderedPageBreak/>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52335C">
              <w:rPr>
                <w:rFonts w:asciiTheme="minorHAnsi" w:hAnsiTheme="minorHAnsi" w:cs="Arial"/>
              </w:rPr>
              <w:t>terminie od 01.01.2020 r. do 31.12.2020</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52335C">
        <w:rPr>
          <w:rFonts w:asciiTheme="minorHAnsi" w:hAnsiTheme="minorHAnsi" w:cs="Arial"/>
        </w:rPr>
        <w:t>w okresie od 01.01.2020 r. do 31.12.2020</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086FAC">
        <w:rPr>
          <w:rFonts w:asciiTheme="minorHAnsi" w:hAnsiTheme="minorHAnsi" w:cs="Arial"/>
        </w:rPr>
        <w:t>o (Dz. U. z 2018</w:t>
      </w:r>
      <w:r w:rsidR="00FE18E5">
        <w:rPr>
          <w:rFonts w:asciiTheme="minorHAnsi" w:hAnsiTheme="minorHAnsi" w:cs="Arial"/>
        </w:rPr>
        <w:t xml:space="preserve"> r. poz. 2096</w:t>
      </w:r>
      <w:r w:rsidR="00086FAC">
        <w:rPr>
          <w:rFonts w:asciiTheme="minorHAnsi" w:hAnsiTheme="minorHAnsi" w:cs="Arial"/>
        </w:rPr>
        <w:t xml:space="preserve"> z </w:t>
      </w:r>
      <w:proofErr w:type="spellStart"/>
      <w:r w:rsidR="00086FAC">
        <w:rPr>
          <w:rFonts w:asciiTheme="minorHAnsi" w:hAnsiTheme="minorHAnsi" w:cs="Arial"/>
        </w:rPr>
        <w:t>późn</w:t>
      </w:r>
      <w:proofErr w:type="spellEnd"/>
      <w:r w:rsidR="00086FAC">
        <w:rPr>
          <w:rFonts w:asciiTheme="minorHAnsi" w:hAnsiTheme="minorHAnsi" w:cs="Arial"/>
        </w:rPr>
        <w:t>. zm.</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086FAC">
        <w:rPr>
          <w:rFonts w:asciiTheme="minorHAnsi" w:hAnsiTheme="minorHAnsi" w:cs="Arial"/>
        </w:rPr>
        <w:t>i 4</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086FAC">
        <w:rPr>
          <w:rFonts w:asciiTheme="minorHAnsi" w:hAnsiTheme="minorHAnsi" w:cs="Arial"/>
        </w:rPr>
        <w:t>19 r., poz. 14</w:t>
      </w:r>
      <w:r w:rsidR="00FB2566" w:rsidRPr="000E339C">
        <w:rPr>
          <w:rFonts w:asciiTheme="minorHAnsi" w:hAnsiTheme="minorHAnsi" w:cs="Arial"/>
        </w:rPr>
        <w:t>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086FAC">
        <w:rPr>
          <w:rFonts w:asciiTheme="minorHAnsi" w:hAnsiTheme="minorHAnsi" w:cs="Arial"/>
        </w:rPr>
        <w:t>atkowa (Dz. U. z 2019 r., poz. 9</w:t>
      </w:r>
      <w:r w:rsidR="00FB2566"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6</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980DE4" w:rsidP="00E33567">
            <w:pPr>
              <w:jc w:val="right"/>
              <w:rPr>
                <w:rFonts w:asciiTheme="minorHAnsi" w:hAnsiTheme="minorHAnsi" w:cs="Arial"/>
                <w:sz w:val="20"/>
                <w:szCs w:val="20"/>
              </w:rPr>
            </w:pPr>
            <w:r>
              <w:rPr>
                <w:rFonts w:asciiTheme="minorHAnsi" w:hAnsiTheme="minorHAnsi" w:cs="Arial"/>
                <w:sz w:val="20"/>
                <w:szCs w:val="20"/>
              </w:rPr>
              <w:t>16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5</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lastRenderedPageBreak/>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 xml:space="preserve">ęć i czytelny podpis osoby/osób </w:t>
      </w:r>
      <w:r w:rsidRPr="000E339C">
        <w:rPr>
          <w:rFonts w:asciiTheme="minorHAnsi" w:hAnsiTheme="minorHAnsi" w:cs="Arial"/>
          <w:sz w:val="18"/>
        </w:rPr>
        <w:t>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r w:rsidR="00EE5C21">
        <w:rPr>
          <w:rFonts w:asciiTheme="minorHAnsi" w:hAnsiTheme="minorHAnsi" w:cs="Arial"/>
        </w:rPr>
        <w:t xml:space="preserve"> dla przesyłek nadawanych na zasadach ogólnych</w:t>
      </w:r>
      <w:bookmarkStart w:id="10" w:name="_GoBack"/>
      <w:bookmarkEnd w:id="10"/>
      <w:r w:rsidRPr="000E339C">
        <w:rPr>
          <w:rFonts w:asciiTheme="minorHAnsi" w:hAnsiTheme="minorHAnsi" w:cs="Arial"/>
        </w:rPr>
        <w:t>.</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686475">
        <w:rPr>
          <w:rFonts w:asciiTheme="minorHAnsi" w:eastAsiaTheme="minorHAnsi" w:hAnsiTheme="minorHAnsi"/>
          <w:lang w:eastAsia="en-US"/>
        </w:rPr>
        <w:t xml:space="preserve">r. Prawo Pocztowe (Dz. U. z 2018 r., poz. 2188 z </w:t>
      </w:r>
      <w:proofErr w:type="spellStart"/>
      <w:r w:rsidR="00686475">
        <w:rPr>
          <w:rFonts w:asciiTheme="minorHAnsi" w:eastAsiaTheme="minorHAnsi" w:hAnsiTheme="minorHAnsi"/>
          <w:lang w:eastAsia="en-US"/>
        </w:rPr>
        <w:t>późn</w:t>
      </w:r>
      <w:proofErr w:type="spellEnd"/>
      <w:r w:rsidR="00686475">
        <w:rPr>
          <w:rFonts w:asciiTheme="minorHAnsi" w:eastAsiaTheme="minorHAnsi" w:hAnsiTheme="minorHAnsi"/>
          <w:lang w:eastAsia="en-US"/>
        </w:rPr>
        <w:t>. zm.</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lastRenderedPageBreak/>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007E02F0">
        <w:rPr>
          <w:rFonts w:asciiTheme="minorHAnsi" w:hAnsiTheme="minorHAnsi" w:cs="Arial"/>
        </w:rPr>
        <w:t xml:space="preserve"> z </w:t>
      </w:r>
      <w:proofErr w:type="spellStart"/>
      <w:r w:rsidR="007E02F0">
        <w:rPr>
          <w:rFonts w:asciiTheme="minorHAnsi" w:hAnsiTheme="minorHAnsi" w:cs="Arial"/>
        </w:rPr>
        <w:t>późn</w:t>
      </w:r>
      <w:proofErr w:type="spellEnd"/>
      <w:r w:rsidR="007E02F0">
        <w:rPr>
          <w:rFonts w:asciiTheme="minorHAnsi" w:hAnsiTheme="minorHAnsi" w:cs="Arial"/>
        </w:rPr>
        <w:t>. zm.</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E22E6B">
        <w:rPr>
          <w:rFonts w:asciiTheme="minorHAnsi" w:hAnsiTheme="minorHAnsi" w:cs="Arial"/>
        </w:rPr>
        <w:t>(Dz. U. z 2019</w:t>
      </w:r>
      <w:r w:rsidRPr="000E339C">
        <w:rPr>
          <w:rFonts w:asciiTheme="minorHAnsi" w:hAnsiTheme="minorHAnsi" w:cs="Arial"/>
        </w:rPr>
        <w:t xml:space="preserve"> r. poz. </w:t>
      </w:r>
      <w:r w:rsidR="00E22E6B">
        <w:rPr>
          <w:rFonts w:asciiTheme="minorHAnsi" w:hAnsiTheme="minorHAnsi" w:cs="Arial"/>
        </w:rPr>
        <w:t xml:space="preserve">1010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4F4A19">
        <w:rPr>
          <w:rFonts w:asciiTheme="minorHAnsi" w:hAnsiTheme="minorHAnsi"/>
          <w:color w:val="000000" w:themeColor="text1"/>
        </w:rPr>
        <w:t>przesyłki  nadane w grudniu 2020 r. będzie w styczniu 2021</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 xml:space="preserve">Zamawiający i Wykonawca zgodnie ustalają, że płatność z tytułu wykonania przedmiotu umowy dokonana zostanie tylko i wyłącznie na rachunek bankowy Wykonawcy wskazany na „białej liście podatników” w formie </w:t>
      </w:r>
      <w:proofErr w:type="spellStart"/>
      <w:r w:rsidRPr="00183124">
        <w:rPr>
          <w:rFonts w:asciiTheme="minorHAnsi" w:hAnsiTheme="minorHAnsi" w:cs="Arial"/>
        </w:rPr>
        <w:t>split-payment</w:t>
      </w:r>
      <w:proofErr w:type="spellEnd"/>
      <w:r w:rsidRPr="00183124">
        <w:rPr>
          <w:rFonts w:asciiTheme="minorHAnsi" w:hAnsiTheme="minorHAnsi" w:cs="Arial"/>
        </w:rPr>
        <w:t xml:space="preserve"> .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w:t>
      </w:r>
      <w:r w:rsidR="004F4A19">
        <w:rPr>
          <w:rFonts w:asciiTheme="minorHAnsi" w:hAnsiTheme="minorHAnsi" w:cs="Arial"/>
        </w:rPr>
        <w:t xml:space="preserve">esyłane na adres e-mail: </w:t>
      </w:r>
      <w:hyperlink r:id="rId10" w:history="1">
        <w:r w:rsidR="00183124" w:rsidRPr="00EE3599">
          <w:rPr>
            <w:rStyle w:val="Hipercze"/>
            <w:rFonts w:asciiTheme="minorHAnsi" w:hAnsiTheme="minorHAnsi" w:cs="Arial"/>
          </w:rPr>
          <w:t>sekretariat@ug.police.pl</w:t>
        </w:r>
      </w:hyperlink>
      <w:r w:rsidR="00183124">
        <w:rPr>
          <w:rFonts w:asciiTheme="minorHAnsi" w:hAnsiTheme="minorHAnsi" w:cs="Arial"/>
        </w:rPr>
        <w:t>.</w:t>
      </w:r>
    </w:p>
    <w:p w:rsidR="009956D4" w:rsidRP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a) Wykonawca zobowiązuje się przesyłać faktury (oraz faktury korygujące i duplikaty faktur) drogą elektroniczną w formacie  PDF,  z ustawioną opcją automatycznego potwierdzenia odbioru wiadomości przez Zamawiającego.</w:t>
      </w:r>
    </w:p>
    <w:p w:rsid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 xml:space="preserve">b) Zamawiający zobowiązuje się do przekazywania każdorazowo na adres Wykonawcy, potwierdzenia  odbioru faktury. Jeśli Wykonawca wysyłając wiadomość na adres skrzynki pocztowej Zamawiającego takiego potwierdzenia </w:t>
      </w:r>
      <w:proofErr w:type="spellStart"/>
      <w:r w:rsidRPr="009956D4">
        <w:rPr>
          <w:rFonts w:asciiTheme="minorHAnsi" w:hAnsiTheme="minorHAnsi" w:cs="Arial"/>
        </w:rPr>
        <w:t>zarząda</w:t>
      </w:r>
      <w:proofErr w:type="spellEnd"/>
      <w:r w:rsidRPr="009956D4">
        <w:rPr>
          <w:rFonts w:asciiTheme="minorHAnsi" w:hAnsiTheme="minorHAnsi" w:cs="Arial"/>
        </w:rPr>
        <w:t xml:space="preserve">. Potwierdzenie odbioru faktury, </w:t>
      </w:r>
      <w:r w:rsidRPr="009956D4">
        <w:rPr>
          <w:rFonts w:asciiTheme="minorHAnsi" w:hAnsiTheme="minorHAnsi" w:cs="Arial"/>
        </w:rPr>
        <w:lastRenderedPageBreak/>
        <w:t>będzie zawierało datę otrzymania faktury przez Zmawiającego, przez którą rozumieć należy datę wpływu faktury na adres skrzynki pocztowej Zamawiającego”.</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3759A3">
        <w:rPr>
          <w:rFonts w:asciiTheme="minorHAnsi" w:hAnsiTheme="minorHAnsi" w:cs="Arial"/>
        </w:rPr>
        <w:t xml:space="preserve">arta na okres </w:t>
      </w:r>
      <w:r w:rsidR="00F9707D">
        <w:rPr>
          <w:rFonts w:asciiTheme="minorHAnsi" w:hAnsiTheme="minorHAnsi" w:cs="Arial"/>
        </w:rPr>
        <w:t xml:space="preserve">od </w:t>
      </w:r>
      <w:r w:rsidR="0052335C">
        <w:rPr>
          <w:rFonts w:asciiTheme="minorHAnsi" w:hAnsiTheme="minorHAnsi" w:cs="Arial"/>
        </w:rPr>
        <w:t>01.01.2020</w:t>
      </w:r>
      <w:r w:rsidR="00A4312C">
        <w:rPr>
          <w:rFonts w:asciiTheme="minorHAnsi" w:hAnsiTheme="minorHAnsi" w:cs="Arial"/>
        </w:rPr>
        <w:t xml:space="preserve"> r. do grudnia </w:t>
      </w:r>
      <w:r w:rsidR="0052335C">
        <w:rPr>
          <w:rFonts w:asciiTheme="minorHAnsi" w:hAnsiTheme="minorHAnsi" w:cs="Arial"/>
        </w:rPr>
        <w:t>31.12.2020</w:t>
      </w:r>
      <w:r w:rsidR="0059231D">
        <w:rPr>
          <w:rFonts w:asciiTheme="minorHAnsi" w:hAnsiTheme="minorHAnsi" w:cs="Arial"/>
        </w:rPr>
        <w:t xml:space="preserve">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lastRenderedPageBreak/>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183124">
        <w:rPr>
          <w:rFonts w:asciiTheme="minorHAnsi" w:hAnsiTheme="minorHAnsi" w:cs="Arial"/>
        </w:rPr>
        <w:t xml:space="preserve">19 r. poz. 1145 </w:t>
      </w:r>
      <w:r w:rsidR="00183124">
        <w:rPr>
          <w:rFonts w:asciiTheme="minorHAnsi" w:hAnsiTheme="minorHAnsi" w:cs="Arial"/>
        </w:rPr>
        <w:br/>
        <w:t xml:space="preserve">z </w:t>
      </w:r>
      <w:proofErr w:type="spellStart"/>
      <w:r w:rsidR="00183124">
        <w:rPr>
          <w:rFonts w:asciiTheme="minorHAnsi" w:hAnsiTheme="minorHAnsi" w:cs="Arial"/>
        </w:rPr>
        <w:t>późn</w:t>
      </w:r>
      <w:proofErr w:type="spellEnd"/>
      <w:r w:rsidR="00183124">
        <w:rPr>
          <w:rFonts w:asciiTheme="minorHAnsi" w:hAnsiTheme="minorHAnsi" w:cs="Arial"/>
        </w:rPr>
        <w:t>. zm.</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52335C">
        <w:rPr>
          <w:rFonts w:asciiTheme="minorHAnsi" w:hAnsiTheme="minorHAnsi" w:cs="Arial"/>
        </w:rPr>
        <w:t>e od 01.01.2020</w:t>
      </w:r>
      <w:r w:rsidR="00715FCB">
        <w:rPr>
          <w:rFonts w:asciiTheme="minorHAnsi" w:hAnsiTheme="minorHAnsi" w:cs="Arial"/>
        </w:rPr>
        <w:t xml:space="preserve"> r. do grudnia </w:t>
      </w:r>
      <w:r w:rsidR="0052335C">
        <w:rPr>
          <w:rFonts w:asciiTheme="minorHAnsi" w:hAnsiTheme="minorHAnsi" w:cs="Arial"/>
        </w:rPr>
        <w:t>31.12.2020</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CE14F3">
        <w:rPr>
          <w:rFonts w:asciiTheme="minorHAnsi" w:hAnsiTheme="minorHAnsi" w:cs="Arial"/>
        </w:rPr>
        <w:t>(Dz. U. z 2019 r. poz.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CE14F3">
        <w:rPr>
          <w:rFonts w:asciiTheme="minorHAnsi" w:hAnsiTheme="minorHAnsi" w:cs="Arial"/>
        </w:rPr>
        <w:t>z 2019</w:t>
      </w:r>
      <w:r w:rsidR="00E33567" w:rsidRPr="000E339C">
        <w:rPr>
          <w:rFonts w:asciiTheme="minorHAnsi" w:hAnsiTheme="minorHAnsi" w:cs="Arial"/>
        </w:rPr>
        <w:t xml:space="preserve"> r. p</w:t>
      </w:r>
      <w:r w:rsidR="00CE14F3">
        <w:rPr>
          <w:rFonts w:asciiTheme="minorHAnsi" w:hAnsiTheme="minorHAnsi" w:cs="Arial"/>
        </w:rPr>
        <w:t>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Pr>
          <w:rFonts w:asciiTheme="minorHAnsi" w:hAnsiTheme="minorHAnsi" w:cs="Arial"/>
        </w:rPr>
        <w:br/>
      </w:r>
      <w:r w:rsidR="00E33567" w:rsidRPr="000E339C">
        <w:rPr>
          <w:rFonts w:asciiTheme="minorHAnsi" w:hAnsiTheme="minorHAnsi" w:cs="Arial"/>
        </w:rPr>
        <w:t xml:space="preserve">z dnia 14 czerwca 1960 r. Kodeks postępowania </w:t>
      </w:r>
      <w:r w:rsidR="00621D04">
        <w:rPr>
          <w:rFonts w:asciiTheme="minorHAnsi" w:hAnsiTheme="minorHAnsi" w:cs="Arial"/>
        </w:rPr>
        <w:t>administracyjnego (Dz. U. z 2018 r. poz. 2096</w:t>
      </w:r>
      <w:r w:rsidR="00CE14F3">
        <w:rPr>
          <w:rFonts w:asciiTheme="minorHAnsi" w:hAnsiTheme="minorHAnsi" w:cs="Arial"/>
        </w:rPr>
        <w:t xml:space="preserve"> z </w:t>
      </w:r>
      <w:proofErr w:type="spellStart"/>
      <w:r w:rsidR="00CE14F3">
        <w:rPr>
          <w:rFonts w:asciiTheme="minorHAnsi" w:hAnsiTheme="minorHAnsi" w:cs="Arial"/>
        </w:rPr>
        <w:t>późn</w:t>
      </w:r>
      <w:proofErr w:type="spellEnd"/>
      <w:r w:rsidR="00CE14F3">
        <w:rPr>
          <w:rFonts w:asciiTheme="minorHAnsi" w:hAnsiTheme="minorHAnsi" w:cs="Arial"/>
        </w:rPr>
        <w:t>. zm.</w:t>
      </w:r>
      <w:r w:rsidR="00E33567" w:rsidRPr="000E339C">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lastRenderedPageBreak/>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CE14F3">
        <w:rPr>
          <w:rFonts w:asciiTheme="minorHAnsi" w:hAnsiTheme="minorHAnsi" w:cs="Arial"/>
        </w:rPr>
        <w:t>powania cywilnego (Dz. U. z 2019 r., poz. 14</w:t>
      </w:r>
      <w:r w:rsidR="000B3EB5">
        <w:rPr>
          <w:rFonts w:asciiTheme="minorHAnsi" w:hAnsiTheme="minorHAnsi" w:cs="Arial"/>
        </w:rPr>
        <w:t>69</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(oddanie pisma </w:t>
      </w:r>
      <w:r w:rsidR="00E33567" w:rsidRPr="000E339C">
        <w:rPr>
          <w:rFonts w:asciiTheme="minorHAnsi" w:hAnsiTheme="minorHAnsi" w:cs="Arial"/>
        </w:rPr>
        <w:lastRenderedPageBreak/>
        <w:t xml:space="preserve">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t>z wniesieniem go do sądu), art. 12 § 6 pkt 2 – Or</w:t>
      </w:r>
      <w:r w:rsidR="00CE14F3">
        <w:rPr>
          <w:rFonts w:asciiTheme="minorHAnsi" w:hAnsiTheme="minorHAnsi" w:cs="Arial"/>
        </w:rPr>
        <w:t>dynacja podatkowa (Dz. U. z 2019 r., poz. 9</w:t>
      </w:r>
      <w:r w:rsidR="00AE63D0">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Pr="000E339C"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Pr="000E339C"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AE63D0" w:rsidRDefault="00A87B56" w:rsidP="00C30283">
      <w:pPr>
        <w:tabs>
          <w:tab w:val="left" w:pos="8060"/>
        </w:tabs>
        <w:spacing w:line="276" w:lineRule="auto"/>
        <w:jc w:val="both"/>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86FAC"/>
    <w:rsid w:val="00091709"/>
    <w:rsid w:val="000B3EB5"/>
    <w:rsid w:val="000B488B"/>
    <w:rsid w:val="000C1DD9"/>
    <w:rsid w:val="000E1989"/>
    <w:rsid w:val="000E339C"/>
    <w:rsid w:val="00114607"/>
    <w:rsid w:val="00141512"/>
    <w:rsid w:val="0016090D"/>
    <w:rsid w:val="00163476"/>
    <w:rsid w:val="00183124"/>
    <w:rsid w:val="0019571A"/>
    <w:rsid w:val="001B397F"/>
    <w:rsid w:val="001D71BD"/>
    <w:rsid w:val="001E0172"/>
    <w:rsid w:val="001E52DD"/>
    <w:rsid w:val="001E56C0"/>
    <w:rsid w:val="00203111"/>
    <w:rsid w:val="002263A2"/>
    <w:rsid w:val="002432BD"/>
    <w:rsid w:val="0028408A"/>
    <w:rsid w:val="002B1768"/>
    <w:rsid w:val="002E1AA3"/>
    <w:rsid w:val="002E29FA"/>
    <w:rsid w:val="002F76A1"/>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67CCE"/>
    <w:rsid w:val="00472186"/>
    <w:rsid w:val="004762C5"/>
    <w:rsid w:val="004764E7"/>
    <w:rsid w:val="00493EE6"/>
    <w:rsid w:val="004A3EAA"/>
    <w:rsid w:val="004B160E"/>
    <w:rsid w:val="004C0953"/>
    <w:rsid w:val="004C3191"/>
    <w:rsid w:val="004D4F47"/>
    <w:rsid w:val="004E2171"/>
    <w:rsid w:val="004E501C"/>
    <w:rsid w:val="004F02AB"/>
    <w:rsid w:val="004F27AF"/>
    <w:rsid w:val="004F4A19"/>
    <w:rsid w:val="004F61D5"/>
    <w:rsid w:val="005037C7"/>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62C0D"/>
    <w:rsid w:val="00765E70"/>
    <w:rsid w:val="007E02F0"/>
    <w:rsid w:val="007F5620"/>
    <w:rsid w:val="00823903"/>
    <w:rsid w:val="00835DEE"/>
    <w:rsid w:val="00851140"/>
    <w:rsid w:val="00854327"/>
    <w:rsid w:val="00866F70"/>
    <w:rsid w:val="00880F0E"/>
    <w:rsid w:val="00897399"/>
    <w:rsid w:val="008A5069"/>
    <w:rsid w:val="008B4AF2"/>
    <w:rsid w:val="008E319E"/>
    <w:rsid w:val="008F1852"/>
    <w:rsid w:val="009170AB"/>
    <w:rsid w:val="009253F6"/>
    <w:rsid w:val="00933C25"/>
    <w:rsid w:val="00967C42"/>
    <w:rsid w:val="00980DE4"/>
    <w:rsid w:val="009956D4"/>
    <w:rsid w:val="009B6289"/>
    <w:rsid w:val="009C4AF8"/>
    <w:rsid w:val="009F21EA"/>
    <w:rsid w:val="009F50FE"/>
    <w:rsid w:val="00A06F2D"/>
    <w:rsid w:val="00A10766"/>
    <w:rsid w:val="00A1496B"/>
    <w:rsid w:val="00A21D0E"/>
    <w:rsid w:val="00A239A8"/>
    <w:rsid w:val="00A30947"/>
    <w:rsid w:val="00A34D91"/>
    <w:rsid w:val="00A4253C"/>
    <w:rsid w:val="00A4312C"/>
    <w:rsid w:val="00A87B56"/>
    <w:rsid w:val="00AA3668"/>
    <w:rsid w:val="00AA659B"/>
    <w:rsid w:val="00AB12A9"/>
    <w:rsid w:val="00AB7E32"/>
    <w:rsid w:val="00AC2534"/>
    <w:rsid w:val="00AC540C"/>
    <w:rsid w:val="00AC619C"/>
    <w:rsid w:val="00AE63D0"/>
    <w:rsid w:val="00AF6422"/>
    <w:rsid w:val="00AF7DB0"/>
    <w:rsid w:val="00B04E67"/>
    <w:rsid w:val="00B12B22"/>
    <w:rsid w:val="00B44E39"/>
    <w:rsid w:val="00B810A3"/>
    <w:rsid w:val="00BC4C56"/>
    <w:rsid w:val="00BD36EA"/>
    <w:rsid w:val="00BD5AD5"/>
    <w:rsid w:val="00C0454C"/>
    <w:rsid w:val="00C2618E"/>
    <w:rsid w:val="00C30283"/>
    <w:rsid w:val="00C317B5"/>
    <w:rsid w:val="00C518CE"/>
    <w:rsid w:val="00CA1F93"/>
    <w:rsid w:val="00CD5BD2"/>
    <w:rsid w:val="00CE14F3"/>
    <w:rsid w:val="00D03152"/>
    <w:rsid w:val="00D07F0C"/>
    <w:rsid w:val="00D15B50"/>
    <w:rsid w:val="00D243C9"/>
    <w:rsid w:val="00D5578A"/>
    <w:rsid w:val="00D77621"/>
    <w:rsid w:val="00D81B8B"/>
    <w:rsid w:val="00D93536"/>
    <w:rsid w:val="00DA02AB"/>
    <w:rsid w:val="00DA45F1"/>
    <w:rsid w:val="00DB3F2E"/>
    <w:rsid w:val="00E13CC9"/>
    <w:rsid w:val="00E1517A"/>
    <w:rsid w:val="00E22E6B"/>
    <w:rsid w:val="00E25358"/>
    <w:rsid w:val="00E33567"/>
    <w:rsid w:val="00E529B2"/>
    <w:rsid w:val="00E52CCE"/>
    <w:rsid w:val="00EB3DD4"/>
    <w:rsid w:val="00EE5C21"/>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4E37B07-ED2C-4249-80FB-C87581C9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44</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65</cp:revision>
  <cp:lastPrinted>2019-12-12T12:07:00Z</cp:lastPrinted>
  <dcterms:created xsi:type="dcterms:W3CDTF">2018-09-20T06:57:00Z</dcterms:created>
  <dcterms:modified xsi:type="dcterms:W3CDTF">2019-12-12T12:08:00Z</dcterms:modified>
</cp:coreProperties>
</file>