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1C" w:rsidRDefault="005B391C" w:rsidP="005B391C">
      <w:pPr>
        <w:jc w:val="center"/>
        <w:rPr>
          <w:rFonts w:asciiTheme="minorHAnsi" w:hAnsiTheme="minorHAnsi" w:cstheme="minorHAnsi"/>
          <w:b/>
        </w:rPr>
      </w:pPr>
      <w:bookmarkStart w:id="0" w:name="_Hlk496617728"/>
      <w:r>
        <w:rPr>
          <w:rFonts w:asciiTheme="minorHAnsi" w:hAnsiTheme="minorHAnsi" w:cstheme="minorHAnsi"/>
          <w:b/>
        </w:rPr>
        <w:t>Burmistrz Polic</w:t>
      </w:r>
    </w:p>
    <w:p w:rsidR="005B391C" w:rsidRDefault="005B391C" w:rsidP="005B391C">
      <w:pPr>
        <w:jc w:val="both"/>
        <w:rPr>
          <w:rFonts w:asciiTheme="minorHAnsi" w:hAnsiTheme="minorHAnsi" w:cstheme="minorHAnsi"/>
        </w:rPr>
      </w:pPr>
      <w:r>
        <w:rPr>
          <w:rFonts w:asciiTheme="minorHAnsi" w:hAnsiTheme="minorHAnsi" w:cstheme="minorHAnsi"/>
        </w:rPr>
        <w:t xml:space="preserve">ogłasza trzeci  przetarg ustny nieograniczony na </w:t>
      </w:r>
      <w:r>
        <w:rPr>
          <w:rFonts w:asciiTheme="minorHAnsi" w:hAnsiTheme="minorHAnsi" w:cstheme="minorHAnsi"/>
          <w:b/>
        </w:rPr>
        <w:t>sprzedaż</w:t>
      </w:r>
      <w:r>
        <w:rPr>
          <w:rFonts w:asciiTheme="minorHAnsi" w:hAnsiTheme="minorHAnsi" w:cstheme="minorHAnsi"/>
        </w:rPr>
        <w:t xml:space="preserve"> następującej nieruchomości:</w:t>
      </w:r>
    </w:p>
    <w:p w:rsidR="005B391C" w:rsidRDefault="005B391C" w:rsidP="005B391C">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90"/>
        <w:gridCol w:w="1842"/>
        <w:gridCol w:w="1725"/>
        <w:gridCol w:w="1725"/>
        <w:gridCol w:w="1667"/>
      </w:tblGrid>
      <w:tr w:rsidR="005B391C" w:rsidTr="005B391C">
        <w:tc>
          <w:tcPr>
            <w:tcW w:w="1890"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b/>
                <w:bCs/>
                <w:lang w:eastAsia="en-US"/>
              </w:rPr>
            </w:pP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POŁOŻENIE</w:t>
            </w: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NIERUCHOMOŚCI</w:t>
            </w:r>
          </w:p>
        </w:tc>
        <w:tc>
          <w:tcPr>
            <w:tcW w:w="1842" w:type="dxa"/>
            <w:tcBorders>
              <w:top w:val="single" w:sz="4" w:space="0" w:color="auto"/>
              <w:left w:val="single" w:sz="4" w:space="0" w:color="auto"/>
              <w:bottom w:val="single" w:sz="4" w:space="0" w:color="auto"/>
              <w:right w:val="single" w:sz="4" w:space="0" w:color="auto"/>
            </w:tcBorders>
            <w:hideMark/>
          </w:tcPr>
          <w:p w:rsidR="005B391C" w:rsidRDefault="005B391C">
            <w:pPr>
              <w:pStyle w:val="Tekstpodstawowy"/>
              <w:tabs>
                <w:tab w:val="center" w:pos="560"/>
              </w:tabs>
              <w:spacing w:line="276" w:lineRule="auto"/>
              <w:jc w:val="left"/>
              <w:rPr>
                <w:rFonts w:asciiTheme="minorHAnsi" w:hAnsiTheme="minorHAnsi" w:cs="Arial"/>
                <w:b/>
                <w:bCs/>
                <w:lang w:eastAsia="en-US"/>
              </w:rPr>
            </w:pPr>
            <w:r>
              <w:rPr>
                <w:rFonts w:asciiTheme="minorHAnsi" w:hAnsiTheme="minorHAnsi" w:cs="Arial"/>
                <w:b/>
                <w:bCs/>
                <w:lang w:eastAsia="en-US"/>
              </w:rPr>
              <w:tab/>
            </w:r>
          </w:p>
          <w:p w:rsidR="005B391C" w:rsidRDefault="005B391C">
            <w:pPr>
              <w:pStyle w:val="Tekstpodstawowy"/>
              <w:tabs>
                <w:tab w:val="center" w:pos="560"/>
              </w:tabs>
              <w:spacing w:line="276" w:lineRule="auto"/>
              <w:jc w:val="left"/>
              <w:rPr>
                <w:rFonts w:asciiTheme="minorHAnsi" w:hAnsiTheme="minorHAnsi" w:cs="Arial"/>
                <w:b/>
                <w:bCs/>
                <w:lang w:eastAsia="en-US"/>
              </w:rPr>
            </w:pPr>
            <w:r>
              <w:rPr>
                <w:rFonts w:asciiTheme="minorHAnsi" w:hAnsiTheme="minorHAnsi" w:cs="Arial"/>
                <w:b/>
                <w:bCs/>
                <w:lang w:eastAsia="en-US"/>
              </w:rPr>
              <w:t xml:space="preserve">        NUMER </w:t>
            </w: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DZIAŁKI,</w:t>
            </w: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POWIERZCHNIA</w:t>
            </w:r>
          </w:p>
        </w:tc>
        <w:tc>
          <w:tcPr>
            <w:tcW w:w="1725" w:type="dxa"/>
            <w:tcBorders>
              <w:top w:val="single" w:sz="4" w:space="0" w:color="auto"/>
              <w:left w:val="single" w:sz="4" w:space="0" w:color="auto"/>
              <w:bottom w:val="single" w:sz="4" w:space="0" w:color="auto"/>
              <w:right w:val="single" w:sz="4" w:space="0" w:color="auto"/>
            </w:tcBorders>
            <w:hideMark/>
          </w:tcPr>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 xml:space="preserve">CENA WYWOŁAWCZA </w:t>
            </w: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BRUTTO</w:t>
            </w:r>
          </w:p>
          <w:p w:rsidR="005B391C" w:rsidRDefault="005B391C">
            <w:pPr>
              <w:pStyle w:val="Tekstpodstawowy"/>
              <w:spacing w:line="276" w:lineRule="auto"/>
              <w:jc w:val="center"/>
              <w:rPr>
                <w:rFonts w:asciiTheme="minorHAnsi" w:hAnsiTheme="minorHAnsi" w:cs="Arial"/>
                <w:b/>
                <w:bCs/>
                <w:sz w:val="20"/>
                <w:lang w:eastAsia="en-US"/>
              </w:rPr>
            </w:pPr>
            <w:r>
              <w:rPr>
                <w:rFonts w:asciiTheme="minorHAnsi" w:hAnsiTheme="minorHAnsi" w:cs="Arial"/>
                <w:b/>
                <w:bCs/>
                <w:sz w:val="20"/>
                <w:lang w:eastAsia="en-US"/>
              </w:rPr>
              <w:t xml:space="preserve">(zawiera podatek VAT </w:t>
            </w: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sz w:val="20"/>
                <w:lang w:eastAsia="en-US"/>
              </w:rPr>
              <w:t>w stawce 23 % )</w:t>
            </w:r>
          </w:p>
        </w:tc>
        <w:tc>
          <w:tcPr>
            <w:tcW w:w="1725"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b/>
                <w:bCs/>
                <w:lang w:eastAsia="en-US"/>
              </w:rPr>
            </w:pP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WADIUM</w:t>
            </w:r>
          </w:p>
        </w:tc>
        <w:tc>
          <w:tcPr>
            <w:tcW w:w="1667"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b/>
                <w:bCs/>
                <w:lang w:eastAsia="en-US"/>
              </w:rPr>
            </w:pP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MIN.</w:t>
            </w:r>
          </w:p>
          <w:p w:rsidR="005B391C" w:rsidRDefault="005B391C">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POSTĄPIENIE</w:t>
            </w:r>
          </w:p>
        </w:tc>
      </w:tr>
      <w:tr w:rsidR="005B391C" w:rsidTr="005B391C">
        <w:tc>
          <w:tcPr>
            <w:tcW w:w="1890"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szCs w:val="24"/>
                <w:lang w:eastAsia="en-US"/>
              </w:rPr>
            </w:pPr>
          </w:p>
          <w:p w:rsidR="005B391C" w:rsidRDefault="005B391C">
            <w:pPr>
              <w:pStyle w:val="Tekstpodstawowy"/>
              <w:spacing w:line="276" w:lineRule="auto"/>
              <w:jc w:val="center"/>
              <w:rPr>
                <w:rFonts w:asciiTheme="minorHAnsi" w:hAnsiTheme="minorHAnsi" w:cs="Arial"/>
                <w:szCs w:val="24"/>
                <w:lang w:eastAsia="en-US"/>
              </w:rPr>
            </w:pPr>
            <w:proofErr w:type="spellStart"/>
            <w:r>
              <w:rPr>
                <w:rFonts w:asciiTheme="minorHAnsi" w:hAnsiTheme="minorHAnsi" w:cs="Arial"/>
                <w:szCs w:val="24"/>
                <w:lang w:eastAsia="en-US"/>
              </w:rPr>
              <w:t>m.Trzebież</w:t>
            </w:r>
            <w:proofErr w:type="spellEnd"/>
          </w:p>
          <w:p w:rsidR="005B391C" w:rsidRDefault="005B391C">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 xml:space="preserve">obr.5-Trzebież </w:t>
            </w:r>
          </w:p>
          <w:p w:rsidR="005B391C" w:rsidRDefault="005B391C">
            <w:pPr>
              <w:pStyle w:val="Tekstpodstawowy"/>
              <w:spacing w:line="276" w:lineRule="auto"/>
              <w:jc w:val="center"/>
              <w:rPr>
                <w:rFonts w:asciiTheme="minorHAnsi" w:hAnsiTheme="minorHAnsi" w:cs="Arial"/>
                <w:szCs w:val="24"/>
                <w:lang w:eastAsia="en-US"/>
              </w:rPr>
            </w:pPr>
          </w:p>
          <w:p w:rsidR="005B391C" w:rsidRDefault="005B391C">
            <w:pPr>
              <w:pStyle w:val="Tekstpodstawowy"/>
              <w:spacing w:line="276" w:lineRule="auto"/>
              <w:jc w:val="center"/>
              <w:rPr>
                <w:rFonts w:asciiTheme="minorHAnsi" w:hAnsiTheme="minorHAnsi" w:cs="Arial"/>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szCs w:val="24"/>
                <w:lang w:eastAsia="en-US"/>
              </w:rPr>
            </w:pPr>
          </w:p>
          <w:p w:rsidR="005B391C" w:rsidRDefault="005B391C">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673/2</w:t>
            </w:r>
          </w:p>
          <w:p w:rsidR="005B391C" w:rsidRDefault="005B391C">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1290 m</w:t>
            </w:r>
            <w:r>
              <w:rPr>
                <w:rFonts w:asciiTheme="minorHAnsi" w:hAnsiTheme="minorHAnsi" w:cs="Arial"/>
                <w:szCs w:val="24"/>
                <w:vertAlign w:val="superscript"/>
                <w:lang w:eastAsia="en-US"/>
              </w:rPr>
              <w:t>2</w:t>
            </w:r>
          </w:p>
        </w:tc>
        <w:tc>
          <w:tcPr>
            <w:tcW w:w="1725"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szCs w:val="24"/>
                <w:lang w:eastAsia="en-US"/>
              </w:rPr>
            </w:pPr>
          </w:p>
          <w:p w:rsidR="005B391C" w:rsidRDefault="005B391C">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83 000,00 zł</w:t>
            </w:r>
          </w:p>
        </w:tc>
        <w:tc>
          <w:tcPr>
            <w:tcW w:w="1725"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szCs w:val="24"/>
                <w:lang w:eastAsia="en-US"/>
              </w:rPr>
            </w:pPr>
          </w:p>
          <w:p w:rsidR="005B391C" w:rsidRDefault="005B391C">
            <w:pPr>
              <w:pStyle w:val="Tekstpodstawowy"/>
              <w:spacing w:line="276" w:lineRule="auto"/>
              <w:rPr>
                <w:rFonts w:asciiTheme="minorHAnsi" w:hAnsiTheme="minorHAnsi" w:cs="Arial"/>
                <w:szCs w:val="24"/>
                <w:lang w:eastAsia="en-US"/>
              </w:rPr>
            </w:pPr>
            <w:r>
              <w:rPr>
                <w:rFonts w:asciiTheme="minorHAnsi" w:hAnsiTheme="minorHAnsi" w:cs="Arial"/>
                <w:szCs w:val="24"/>
                <w:lang w:eastAsia="en-US"/>
              </w:rPr>
              <w:t xml:space="preserve">    4 200,00 zł</w:t>
            </w:r>
          </w:p>
        </w:tc>
        <w:tc>
          <w:tcPr>
            <w:tcW w:w="1667" w:type="dxa"/>
            <w:tcBorders>
              <w:top w:val="single" w:sz="4" w:space="0" w:color="auto"/>
              <w:left w:val="single" w:sz="4" w:space="0" w:color="auto"/>
              <w:bottom w:val="single" w:sz="4" w:space="0" w:color="auto"/>
              <w:right w:val="single" w:sz="4" w:space="0" w:color="auto"/>
            </w:tcBorders>
          </w:tcPr>
          <w:p w:rsidR="005B391C" w:rsidRDefault="005B391C">
            <w:pPr>
              <w:pStyle w:val="Tekstpodstawowy"/>
              <w:spacing w:line="276" w:lineRule="auto"/>
              <w:jc w:val="center"/>
              <w:rPr>
                <w:rFonts w:asciiTheme="minorHAnsi" w:hAnsiTheme="minorHAnsi" w:cs="Arial"/>
                <w:szCs w:val="24"/>
                <w:lang w:eastAsia="en-US"/>
              </w:rPr>
            </w:pPr>
          </w:p>
          <w:p w:rsidR="005B391C" w:rsidRDefault="005B391C">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1000,00 zł</w:t>
            </w:r>
          </w:p>
        </w:tc>
      </w:tr>
    </w:tbl>
    <w:p w:rsidR="005B391C" w:rsidRDefault="005B391C" w:rsidP="005B391C">
      <w:pPr>
        <w:pStyle w:val="Tekstpodstawowy"/>
        <w:rPr>
          <w:rFonts w:asciiTheme="minorHAnsi" w:hAnsiTheme="minorHAnsi" w:cstheme="minorHAnsi"/>
          <w:b/>
        </w:rPr>
      </w:pPr>
    </w:p>
    <w:p w:rsidR="005B391C" w:rsidRDefault="005B391C" w:rsidP="005B391C">
      <w:pPr>
        <w:pStyle w:val="Tekstpodstawowy"/>
        <w:rPr>
          <w:rFonts w:asciiTheme="minorHAnsi" w:hAnsiTheme="minorHAnsi" w:cs="Arial"/>
        </w:rPr>
      </w:pPr>
      <w:r>
        <w:rPr>
          <w:rFonts w:asciiTheme="minorHAnsi" w:hAnsiTheme="minorHAnsi" w:cs="Arial"/>
          <w:b/>
        </w:rPr>
        <w:t>Opis nieruchomości:</w:t>
      </w:r>
      <w:r>
        <w:rPr>
          <w:rFonts w:asciiTheme="minorHAnsi" w:hAnsiTheme="minorHAnsi" w:cs="Arial"/>
        </w:rPr>
        <w:t xml:space="preserve"> działka położona jest w południowej części miejscowości, przy gruntowej drodze prowadzącej od ulicy Kościuszki. Działka leży w odległości 50 m od ulicy Kościuszki, w której jest pełne uzbrojenie. Otoczenie stanowią tereny zabudowane, ogródki przydomowe i szlak kolejowy. Teren działki w sporej części (ok. 980 m</w:t>
      </w:r>
      <w:r>
        <w:rPr>
          <w:rFonts w:asciiTheme="minorHAnsi" w:hAnsiTheme="minorHAnsi" w:cs="Arial"/>
          <w:vertAlign w:val="superscript"/>
        </w:rPr>
        <w:t>2</w:t>
      </w:r>
      <w:r>
        <w:rPr>
          <w:rFonts w:asciiTheme="minorHAnsi" w:hAnsiTheme="minorHAnsi" w:cs="Arial"/>
        </w:rPr>
        <w:t>) zagrożony jest podtapianiem fundamentów. Na działce znajdują się pozostałości po trzech szaletach oraz drewniana zabudowa gospodarcza przeznaczone do usunięcia. Teren przyległy wyposażony jest w  następujące urządzenia komunalne: nieutwardzony dojazd, woda.</w:t>
      </w:r>
    </w:p>
    <w:p w:rsidR="005B391C" w:rsidRDefault="005B391C" w:rsidP="005B391C">
      <w:pPr>
        <w:pStyle w:val="Tekstpodstawowy"/>
        <w:rPr>
          <w:rFonts w:asciiTheme="minorHAnsi" w:hAnsiTheme="minorHAnsi" w:cs="Arial"/>
        </w:rPr>
      </w:pPr>
      <w:r>
        <w:rPr>
          <w:rFonts w:asciiTheme="minorHAnsi" w:hAnsiTheme="minorHAnsi" w:cs="Arial"/>
        </w:rPr>
        <w:t>Dla działki prowadzona jest księga wieczysta SZ2S/00002983/7.</w:t>
      </w:r>
    </w:p>
    <w:p w:rsidR="005B391C" w:rsidRDefault="005B391C" w:rsidP="005B391C">
      <w:pPr>
        <w:jc w:val="both"/>
        <w:rPr>
          <w:rFonts w:asciiTheme="minorHAnsi" w:hAnsiTheme="minorHAnsi" w:cs="Arial"/>
        </w:rPr>
      </w:pPr>
      <w:r>
        <w:rPr>
          <w:rFonts w:asciiTheme="minorHAnsi" w:hAnsiTheme="minorHAnsi" w:cs="Arial"/>
          <w:b/>
        </w:rPr>
        <w:t xml:space="preserve"> Przeznaczenie w  miejscowym planie zagospodarowania przestrzennego:</w:t>
      </w:r>
      <w:r>
        <w:rPr>
          <w:rFonts w:asciiTheme="minorHAnsi" w:hAnsiTheme="minorHAnsi" w:cs="Arial"/>
        </w:rPr>
        <w:t xml:space="preserve"> </w:t>
      </w:r>
      <w:r>
        <w:rPr>
          <w:rFonts w:asciiTheme="minorHAnsi" w:hAnsiTheme="minorHAnsi" w:cs="Arial"/>
          <w:bCs/>
        </w:rPr>
        <w:t xml:space="preserve">zgodnie </w:t>
      </w:r>
      <w:r>
        <w:rPr>
          <w:rFonts w:asciiTheme="minorHAnsi" w:hAnsiTheme="minorHAnsi" w:cs="Arial"/>
          <w:bCs/>
        </w:rPr>
        <w:br/>
        <w:t xml:space="preserve">z </w:t>
      </w:r>
      <w:r>
        <w:rPr>
          <w:rFonts w:asciiTheme="minorHAnsi" w:hAnsiTheme="minorHAnsi" w:cs="Arial"/>
        </w:rPr>
        <w:t xml:space="preserve">Uchwałą Nr XLV/345/01 Rady Miejskiej w Policach z dnia  20 grudnia 2001 r. ( Dz. Urz. Woj.  Zachodniopomorskiego z dnia 05.04. 2002r. Nr 14, poz.256) działka nr 673/2 położona jest </w:t>
      </w:r>
      <w:r>
        <w:rPr>
          <w:rFonts w:asciiTheme="minorHAnsi" w:hAnsiTheme="minorHAnsi" w:cs="Arial"/>
        </w:rPr>
        <w:br/>
        <w:t xml:space="preserve">w obrębie terenu elementarnego oznaczonego na planie symbolem 14/13 MJ,U tj. zabudowa mieszkalno-usługowa jednorodzinna. Na terenie tym obowiązują m.in. następujące ustalenia: zabudowa wolnostojąca, powierzchnia zabudowy do 30% powierzchni działki, </w:t>
      </w:r>
      <w:r>
        <w:rPr>
          <w:rFonts w:asciiTheme="minorHAnsi" w:hAnsiTheme="minorHAnsi" w:cs="Arial"/>
          <w:bCs/>
        </w:rPr>
        <w:t xml:space="preserve"> usługi wyłącznie nieuciążliwe, teren położony w strefie ochrony pośredniej zewnętrznej ujęcia wody, obowiązują pasma i obszary zieleni izolacyjnej  bez możliwości zabudowy.</w:t>
      </w:r>
    </w:p>
    <w:p w:rsidR="005B391C" w:rsidRDefault="005B391C" w:rsidP="005B391C">
      <w:pPr>
        <w:jc w:val="both"/>
        <w:rPr>
          <w:rFonts w:asciiTheme="minorHAnsi" w:hAnsiTheme="minorHAnsi" w:cstheme="minorHAnsi"/>
        </w:rPr>
      </w:pPr>
    </w:p>
    <w:p w:rsidR="005B391C" w:rsidRDefault="005B391C" w:rsidP="005B391C">
      <w:pPr>
        <w:jc w:val="both"/>
        <w:rPr>
          <w:rFonts w:asciiTheme="minorHAnsi" w:hAnsiTheme="minorHAnsi" w:cs="Arial"/>
          <w:b/>
        </w:rPr>
      </w:pPr>
      <w:r>
        <w:rPr>
          <w:rFonts w:asciiTheme="minorHAnsi" w:hAnsiTheme="minorHAnsi" w:cs="Arial"/>
          <w:b/>
        </w:rPr>
        <w:t xml:space="preserve">Przetarg odbędzie się w dniu 23 września  2019r. o godzinie 9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Bankowa 18  (II piętro, sala konferencyjna).</w:t>
      </w:r>
    </w:p>
    <w:p w:rsidR="005B391C" w:rsidRDefault="005B391C" w:rsidP="005B391C">
      <w:pPr>
        <w:jc w:val="both"/>
        <w:rPr>
          <w:rFonts w:asciiTheme="minorHAnsi" w:hAnsiTheme="minorHAnsi"/>
          <w:b/>
        </w:rPr>
      </w:pPr>
    </w:p>
    <w:bookmarkEnd w:id="0"/>
    <w:p w:rsidR="005B391C" w:rsidRDefault="005B391C" w:rsidP="005B391C">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5B391C" w:rsidRDefault="005B391C" w:rsidP="005B391C">
      <w:pPr>
        <w:jc w:val="both"/>
        <w:rPr>
          <w:rFonts w:asciiTheme="minorHAnsi" w:hAnsiTheme="minorHAnsi"/>
          <w:b/>
        </w:rPr>
      </w:pPr>
      <w:r>
        <w:rPr>
          <w:rFonts w:asciiTheme="minorHAnsi" w:hAnsiTheme="minorHAnsi" w:cs="Arial"/>
        </w:rPr>
        <w:t xml:space="preserve">W przetargu mogą brać udział osoby, które wpłacą wadium </w:t>
      </w:r>
      <w:r>
        <w:rPr>
          <w:rFonts w:asciiTheme="minorHAnsi" w:hAnsiTheme="minorHAnsi"/>
          <w:b/>
        </w:rPr>
        <w:t>najpóźniej do dnia 17 września 2019 r</w:t>
      </w:r>
      <w:r>
        <w:rPr>
          <w:rFonts w:asciiTheme="minorHAnsi" w:hAnsiTheme="minorHAnsi" w:cs="Arial"/>
        </w:rPr>
        <w:t xml:space="preserve">. </w:t>
      </w: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t>
      </w:r>
      <w:r>
        <w:rPr>
          <w:rFonts w:asciiTheme="minorHAnsi" w:hAnsiTheme="minorHAnsi"/>
        </w:rPr>
        <w:br/>
        <w:t>w II Oddziale Banku Pekao SA, nr rachunku: 15 1240 3927 1111 0010 6013 0076 przelewem lub w punkcie kasowym Banku Pekao SA znajdującym się w Urzędzie Miejskim w Policach (pok. 41).</w:t>
      </w:r>
      <w:r>
        <w:rPr>
          <w:rFonts w:asciiTheme="minorHAnsi" w:hAnsiTheme="minorHAnsi"/>
          <w:b/>
        </w:rPr>
        <w:t xml:space="preserve"> Za datę wniesienia wadium uważa się</w:t>
      </w:r>
      <w:r>
        <w:rPr>
          <w:rFonts w:asciiTheme="minorHAnsi" w:hAnsiTheme="minorHAnsi"/>
        </w:rPr>
        <w:t xml:space="preserve"> </w:t>
      </w:r>
      <w:r>
        <w:rPr>
          <w:rFonts w:asciiTheme="minorHAnsi" w:hAnsiTheme="minorHAnsi"/>
          <w:b/>
          <w:bCs/>
        </w:rPr>
        <w:t xml:space="preserve">datę wpływu środków pieniężnych na rachunek Gminy Police. Przy dokonaniu wpłaty wadium należy podać oznaczenie </w:t>
      </w:r>
      <w:r>
        <w:rPr>
          <w:rFonts w:asciiTheme="minorHAnsi" w:hAnsiTheme="minorHAnsi"/>
          <w:b/>
          <w:bCs/>
        </w:rPr>
        <w:lastRenderedPageBreak/>
        <w:t>nieruchomości, której dotyczy wpłacane wadium oraz imię i nazwisko</w:t>
      </w:r>
      <w:r>
        <w:rPr>
          <w:rFonts w:asciiTheme="minorHAnsi" w:hAnsiTheme="minorHAnsi"/>
          <w:b/>
        </w:rPr>
        <w:t xml:space="preserve"> uczestnika przetargu.</w:t>
      </w:r>
    </w:p>
    <w:p w:rsidR="005B391C" w:rsidRDefault="005B391C" w:rsidP="005B391C">
      <w:pPr>
        <w:jc w:val="both"/>
        <w:rPr>
          <w:rFonts w:asciiTheme="minorHAnsi" w:hAnsiTheme="minorHAnsi" w:cs="Arial"/>
        </w:rPr>
      </w:pPr>
    </w:p>
    <w:p w:rsidR="005B391C" w:rsidRDefault="005B391C" w:rsidP="005B391C">
      <w:pPr>
        <w:jc w:val="both"/>
        <w:rPr>
          <w:rFonts w:asciiTheme="minorHAnsi" w:hAnsiTheme="minorHAnsi"/>
        </w:rPr>
      </w:pPr>
    </w:p>
    <w:p w:rsidR="005B391C" w:rsidRDefault="005B391C" w:rsidP="005B391C">
      <w:pPr>
        <w:jc w:val="both"/>
        <w:rPr>
          <w:rFonts w:asciiTheme="minorHAnsi" w:hAnsiTheme="minorHAnsi"/>
        </w:rPr>
      </w:pPr>
      <w:r>
        <w:rPr>
          <w:rFonts w:asciiTheme="minorHAnsi" w:hAnsiTheme="minorHAnsi"/>
        </w:rPr>
        <w:t>W przypadku uchylenia się uczestnika, który wygrał przetarg od zawarcia umowy sprzedaży, wpłacone wadium ulega przepadkowi.</w:t>
      </w:r>
    </w:p>
    <w:p w:rsidR="005B391C" w:rsidRDefault="005B391C" w:rsidP="005B391C">
      <w:pPr>
        <w:jc w:val="both"/>
        <w:rPr>
          <w:rFonts w:asciiTheme="minorHAnsi" w:hAnsiTheme="minorHAnsi" w:cs="Arial"/>
        </w:rPr>
      </w:pPr>
      <w:bookmarkStart w:id="1" w:name="_Hlk495567120"/>
      <w:r>
        <w:rPr>
          <w:rFonts w:asciiTheme="minorHAnsi" w:hAnsiTheme="minorHAnsi" w:cs="Arial"/>
        </w:rPr>
        <w:t>Warunkiem wzięcia udziału w przetargu jest  przedłożenie Komisji Przetargowej:</w:t>
      </w:r>
    </w:p>
    <w:p w:rsidR="005B391C" w:rsidRDefault="005B391C" w:rsidP="005B391C">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5B391C" w:rsidRDefault="005B391C" w:rsidP="005B391C">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5B391C" w:rsidRDefault="005B391C" w:rsidP="005B391C">
      <w:pPr>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o krajowym Rejestrze Sądowym.   </w:t>
      </w:r>
    </w:p>
    <w:bookmarkEnd w:id="1"/>
    <w:p w:rsidR="005B391C" w:rsidRDefault="005B391C" w:rsidP="005B391C">
      <w:pPr>
        <w:ind w:left="283"/>
        <w:jc w:val="both"/>
        <w:rPr>
          <w:rFonts w:asciiTheme="minorHAnsi" w:hAnsiTheme="minorHAnsi" w:cs="Arial"/>
        </w:rPr>
      </w:pPr>
    </w:p>
    <w:p w:rsidR="005B391C" w:rsidRDefault="005B391C" w:rsidP="005B391C">
      <w:pPr>
        <w:jc w:val="both"/>
        <w:rPr>
          <w:rFonts w:asciiTheme="minorHAnsi" w:hAnsiTheme="minorHAnsi" w:cs="Arial"/>
          <w:b/>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5B391C" w:rsidRDefault="005B391C" w:rsidP="005B391C">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5B391C" w:rsidRDefault="005B391C" w:rsidP="005B391C">
      <w:pPr>
        <w:jc w:val="both"/>
        <w:rPr>
          <w:rFonts w:asciiTheme="minorHAnsi" w:hAnsiTheme="minorHAnsi" w:cs="Arial"/>
          <w:b/>
        </w:rPr>
      </w:pPr>
    </w:p>
    <w:p w:rsidR="005B391C" w:rsidRDefault="005B391C" w:rsidP="005B391C">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5B391C" w:rsidRDefault="005B391C" w:rsidP="005B391C">
      <w:pPr>
        <w:jc w:val="both"/>
        <w:rPr>
          <w:rFonts w:asciiTheme="minorHAnsi" w:hAnsiTheme="minorHAnsi" w:cs="Arial"/>
          <w:b/>
        </w:rPr>
      </w:pPr>
    </w:p>
    <w:p w:rsidR="005B391C" w:rsidRDefault="005B391C" w:rsidP="005B391C">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5B391C" w:rsidRDefault="005B391C" w:rsidP="005B391C">
      <w:pPr>
        <w:jc w:val="both"/>
        <w:rPr>
          <w:rFonts w:asciiTheme="minorHAnsi" w:hAnsiTheme="minorHAnsi" w:cs="Arial"/>
          <w:b/>
        </w:rPr>
      </w:pPr>
    </w:p>
    <w:p w:rsidR="005B391C" w:rsidRDefault="005B391C" w:rsidP="005B391C">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5B391C" w:rsidRDefault="005B391C" w:rsidP="005B391C">
      <w:pPr>
        <w:jc w:val="both"/>
        <w:rPr>
          <w:rFonts w:asciiTheme="minorHAnsi" w:hAnsiTheme="minorHAnsi"/>
        </w:rPr>
      </w:pPr>
    </w:p>
    <w:p w:rsidR="005B391C" w:rsidRDefault="005B391C" w:rsidP="005B391C">
      <w:pPr>
        <w:jc w:val="both"/>
        <w:rPr>
          <w:rFonts w:asciiTheme="minorHAnsi" w:hAnsiTheme="minorHAnsi"/>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w:t>
      </w:r>
      <w:r>
        <w:rPr>
          <w:rFonts w:asciiTheme="minorHAnsi" w:hAnsiTheme="minorHAnsi"/>
        </w:rPr>
        <w:t>).</w:t>
      </w:r>
    </w:p>
    <w:p w:rsidR="005B391C" w:rsidRDefault="005B391C" w:rsidP="005B391C">
      <w:pPr>
        <w:jc w:val="both"/>
        <w:rPr>
          <w:rFonts w:asciiTheme="minorHAnsi" w:hAnsiTheme="minorHAnsi"/>
        </w:rPr>
      </w:pPr>
    </w:p>
    <w:p w:rsidR="005B391C" w:rsidRDefault="005B391C" w:rsidP="005B391C">
      <w:pPr>
        <w:jc w:val="both"/>
        <w:rPr>
          <w:rFonts w:asciiTheme="minorHAnsi" w:hAnsiTheme="minorHAnsi"/>
        </w:rPr>
      </w:pPr>
    </w:p>
    <w:p w:rsidR="005B391C" w:rsidRDefault="005B391C" w:rsidP="005B391C">
      <w:pPr>
        <w:jc w:val="both"/>
        <w:rPr>
          <w:rFonts w:asciiTheme="minorHAnsi" w:hAnsiTheme="minorHAnsi"/>
        </w:rPr>
      </w:pPr>
    </w:p>
    <w:p w:rsidR="005B391C" w:rsidRDefault="005B391C" w:rsidP="005B391C">
      <w:pPr>
        <w:jc w:val="both"/>
        <w:rPr>
          <w:rFonts w:asciiTheme="minorHAnsi" w:hAnsiTheme="minorHAnsi"/>
        </w:rPr>
      </w:pPr>
      <w:r>
        <w:rPr>
          <w:rFonts w:asciiTheme="minorHAnsi" w:hAnsiTheme="minorHAnsi"/>
        </w:rPr>
        <w:t>Pierwszy przetarg odbył się 27 marca 2019r.</w:t>
      </w:r>
    </w:p>
    <w:p w:rsidR="005B391C" w:rsidRDefault="005B391C" w:rsidP="005B391C">
      <w:pPr>
        <w:jc w:val="both"/>
        <w:rPr>
          <w:rFonts w:asciiTheme="minorHAnsi" w:hAnsiTheme="minorHAnsi"/>
        </w:rPr>
      </w:pPr>
      <w:r>
        <w:rPr>
          <w:rFonts w:asciiTheme="minorHAnsi" w:hAnsiTheme="minorHAnsi"/>
        </w:rPr>
        <w:t>Drugi przetarg odbył się 2 lipca 2019r.</w:t>
      </w:r>
    </w:p>
    <w:p w:rsidR="005B391C" w:rsidRDefault="005B391C" w:rsidP="005B391C">
      <w:pPr>
        <w:jc w:val="both"/>
        <w:rPr>
          <w:rFonts w:asciiTheme="minorHAnsi" w:hAnsiTheme="minorHAnsi"/>
        </w:rPr>
      </w:pPr>
    </w:p>
    <w:p w:rsidR="005B391C" w:rsidRDefault="005B391C" w:rsidP="005B391C">
      <w:pPr>
        <w:jc w:val="both"/>
        <w:rPr>
          <w:rFonts w:asciiTheme="minorHAnsi" w:hAnsiTheme="minorHAnsi"/>
        </w:rPr>
      </w:pPr>
      <w:r>
        <w:rPr>
          <w:rFonts w:asciiTheme="minorHAnsi" w:hAnsiTheme="minorHAnsi"/>
        </w:rPr>
        <w:t>Dodatkowe informacje:</w:t>
      </w:r>
    </w:p>
    <w:p w:rsidR="005B391C" w:rsidRDefault="005B391C" w:rsidP="005B391C">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5B391C" w:rsidRDefault="005B391C" w:rsidP="005B391C">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5B391C" w:rsidRDefault="005B391C" w:rsidP="005B391C">
      <w:pPr>
        <w:numPr>
          <w:ilvl w:val="0"/>
          <w:numId w:val="2"/>
        </w:numPr>
        <w:jc w:val="both"/>
        <w:rPr>
          <w:rFonts w:asciiTheme="minorHAnsi" w:hAnsiTheme="minorHAnsi" w:cs="Arial"/>
        </w:rPr>
      </w:pPr>
      <w:r>
        <w:rPr>
          <w:rFonts w:asciiTheme="minorHAnsi" w:hAnsiTheme="minorHAnsi"/>
        </w:rPr>
        <w:t>Nabywca przejmuje wraz z gruntem obowiązek usunięcia z nieruchomości ewentualnych bezumownych użytkowników</w:t>
      </w:r>
      <w:r>
        <w:rPr>
          <w:rFonts w:asciiTheme="minorHAnsi" w:hAnsiTheme="minorHAnsi" w:cs="Arial"/>
        </w:rPr>
        <w:t>.</w:t>
      </w:r>
    </w:p>
    <w:p w:rsidR="005B391C" w:rsidRDefault="005B391C" w:rsidP="005B391C">
      <w:pPr>
        <w:numPr>
          <w:ilvl w:val="0"/>
          <w:numId w:val="2"/>
        </w:numPr>
        <w:jc w:val="both"/>
        <w:rPr>
          <w:rFonts w:asciiTheme="minorHAnsi" w:hAnsiTheme="minorHAnsi" w:cs="Arial"/>
        </w:rPr>
      </w:pPr>
      <w:r>
        <w:rPr>
          <w:rFonts w:asciiTheme="minorHAnsi" w:hAnsiTheme="minorHAnsi" w:cs="Arial"/>
        </w:rPr>
        <w:t>Cena nieruchomości płatana jest w całości przed podpisaniem umowy notarialnej.</w:t>
      </w:r>
    </w:p>
    <w:p w:rsidR="005B391C" w:rsidRDefault="005B391C" w:rsidP="005B391C">
      <w:pPr>
        <w:numPr>
          <w:ilvl w:val="0"/>
          <w:numId w:val="2"/>
        </w:numPr>
        <w:jc w:val="both"/>
        <w:rPr>
          <w:rFonts w:asciiTheme="minorHAnsi" w:hAnsiTheme="minorHAnsi"/>
        </w:rPr>
      </w:pPr>
      <w:r>
        <w:rPr>
          <w:rFonts w:asciiTheme="minorHAnsi" w:hAnsiTheme="minorHAnsi"/>
        </w:rPr>
        <w:t>Koszty notarialne w całości ponosi nabywca nieruchomości.</w:t>
      </w:r>
    </w:p>
    <w:p w:rsidR="005B391C" w:rsidRDefault="005B391C" w:rsidP="005B391C">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Gmina nie ponosi odpowiedzialności za ewentualne różnice powstałe w wyniku wznowienia granic nabytej nieruchomości.</w:t>
      </w:r>
    </w:p>
    <w:p w:rsidR="005B391C" w:rsidRDefault="005B391C" w:rsidP="005B391C">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5B391C" w:rsidRDefault="005B391C" w:rsidP="005B391C">
      <w:pPr>
        <w:jc w:val="both"/>
        <w:rPr>
          <w:rFonts w:asciiTheme="minorHAnsi" w:hAnsiTheme="minorHAnsi"/>
        </w:rPr>
      </w:pPr>
    </w:p>
    <w:p w:rsidR="005B391C" w:rsidRDefault="005B391C" w:rsidP="005B391C">
      <w:pPr>
        <w:jc w:val="both"/>
        <w:rPr>
          <w:rFonts w:asciiTheme="minorHAnsi" w:hAnsiTheme="minorHAnsi"/>
        </w:rPr>
      </w:pPr>
      <w:r>
        <w:rPr>
          <w:rFonts w:asciiTheme="minorHAnsi" w:hAnsiTheme="minorHAnsi"/>
        </w:rPr>
        <w:t>Informacje na temat zbywanej nieruchomości można uzyskać w Wydziale Gospodarki Gruntami Urzędu Miejskiego w Policach przy ul. Bankowej 18, pok. 212,  210 lub telefonicznie pod numerami 91-43-118-68, 91-43-118-90.</w:t>
      </w:r>
    </w:p>
    <w:p w:rsidR="005B391C" w:rsidRDefault="005B391C" w:rsidP="005B391C">
      <w:pPr>
        <w:jc w:val="both"/>
        <w:rPr>
          <w:rFonts w:asciiTheme="minorHAnsi" w:hAnsiTheme="minorHAnsi"/>
        </w:rPr>
      </w:pPr>
    </w:p>
    <w:p w:rsidR="005B391C" w:rsidRDefault="005B391C" w:rsidP="005B391C">
      <w:pPr>
        <w:rPr>
          <w:rFonts w:asciiTheme="minorHAnsi" w:hAnsiTheme="minorHAnsi" w:cs="Arial"/>
        </w:rPr>
      </w:pPr>
      <w:r>
        <w:rPr>
          <w:rFonts w:asciiTheme="minorHAnsi" w:hAnsiTheme="minorHAnsi" w:cs="Arial"/>
        </w:rPr>
        <w:t>Zastrzega się prawo odwołania przetargu.</w:t>
      </w:r>
    </w:p>
    <w:p w:rsidR="005B391C" w:rsidRDefault="005B391C" w:rsidP="005B391C">
      <w:pPr>
        <w:rPr>
          <w:rFonts w:asciiTheme="minorHAnsi" w:hAnsiTheme="minorHAnsi" w:cs="Arial"/>
        </w:rPr>
      </w:pPr>
    </w:p>
    <w:p w:rsidR="005B391C" w:rsidRDefault="005B391C" w:rsidP="005B391C">
      <w:pPr>
        <w:rPr>
          <w:rFonts w:asciiTheme="minorHAnsi" w:hAnsiTheme="minorHAnsi" w:cs="Arial"/>
        </w:rPr>
      </w:pPr>
    </w:p>
    <w:p w:rsidR="005B391C" w:rsidRDefault="005B391C" w:rsidP="005B391C">
      <w:pPr>
        <w:rPr>
          <w:rFonts w:asciiTheme="minorHAnsi" w:hAnsiTheme="minorHAnsi" w:cs="Arial"/>
        </w:rPr>
      </w:pPr>
    </w:p>
    <w:p w:rsidR="005B391C" w:rsidRDefault="005B391C" w:rsidP="005B391C">
      <w:pPr>
        <w:rPr>
          <w:rFonts w:asciiTheme="minorHAnsi" w:hAnsiTheme="minorHAnsi" w:cs="Arial"/>
        </w:rPr>
      </w:pPr>
    </w:p>
    <w:p w:rsidR="005B391C" w:rsidRDefault="005B391C" w:rsidP="005B391C">
      <w:pPr>
        <w:rPr>
          <w:rFonts w:asciiTheme="minorHAnsi" w:hAnsiTheme="minorHAnsi" w:cs="Arial"/>
        </w:rPr>
      </w:pPr>
    </w:p>
    <w:p w:rsidR="005B391C" w:rsidRDefault="005B391C" w:rsidP="005B391C">
      <w:pPr>
        <w:rPr>
          <w:rFonts w:asciiTheme="minorHAnsi" w:hAnsiTheme="minorHAnsi" w:cs="Arial"/>
        </w:rPr>
      </w:pPr>
    </w:p>
    <w:p w:rsidR="005B391C" w:rsidRDefault="005B391C" w:rsidP="005B391C">
      <w:pPr>
        <w:rPr>
          <w:rFonts w:asciiTheme="minorHAnsi" w:hAnsiTheme="minorHAnsi" w:cs="Arial"/>
        </w:rPr>
      </w:pPr>
    </w:p>
    <w:p w:rsidR="005B391C" w:rsidRDefault="005B391C" w:rsidP="005B391C">
      <w:pPr>
        <w:rPr>
          <w:rStyle w:val="Uwydatnienie"/>
          <w:rFonts w:cstheme="minorHAnsi"/>
          <w:i w:val="0"/>
          <w:sz w:val="20"/>
        </w:rPr>
      </w:pPr>
    </w:p>
    <w:p w:rsidR="005B391C" w:rsidRDefault="005B391C" w:rsidP="005B391C">
      <w:pPr>
        <w:jc w:val="both"/>
        <w:rPr>
          <w:rFonts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5B391C" w:rsidRDefault="005B391C" w:rsidP="005B391C">
      <w:pPr>
        <w:spacing w:after="160" w:line="252" w:lineRule="auto"/>
        <w:jc w:val="both"/>
        <w:rPr>
          <w:rFonts w:asciiTheme="minorHAnsi" w:hAnsiTheme="minorHAnsi" w:cs="Arial"/>
          <w:sz w:val="32"/>
        </w:rPr>
      </w:pPr>
      <w:r>
        <w:rPr>
          <w:rFonts w:asciiTheme="minorHAnsi" w:hAnsiTheme="minorHAnsi"/>
        </w:rPr>
        <w:br w:type="page"/>
      </w:r>
    </w:p>
    <w:p w:rsidR="005B391C" w:rsidRDefault="005B391C" w:rsidP="005B391C">
      <w:pPr>
        <w:pStyle w:val="Nagwek1"/>
        <w:rPr>
          <w:rFonts w:asciiTheme="minorHAnsi" w:hAnsiTheme="minorHAnsi"/>
        </w:rPr>
      </w:pPr>
      <w:r>
        <w:rPr>
          <w:rFonts w:asciiTheme="minorHAnsi" w:hAnsiTheme="minorHAnsi"/>
        </w:rPr>
        <w:lastRenderedPageBreak/>
        <w:t>REGULAMIN</w:t>
      </w:r>
    </w:p>
    <w:p w:rsidR="005B391C" w:rsidRDefault="005B391C" w:rsidP="005B391C">
      <w:pPr>
        <w:jc w:val="both"/>
        <w:rPr>
          <w:rFonts w:asciiTheme="minorHAnsi" w:hAnsiTheme="minorHAnsi" w:cs="Arial"/>
        </w:rPr>
      </w:pPr>
      <w:r>
        <w:rPr>
          <w:rFonts w:asciiTheme="minorHAnsi" w:hAnsiTheme="minorHAnsi"/>
        </w:rPr>
        <w:t xml:space="preserve">trzeciego przetargu ustnego nieograniczonego na </w:t>
      </w:r>
      <w:r>
        <w:rPr>
          <w:rFonts w:asciiTheme="minorHAnsi" w:hAnsiTheme="minorHAnsi"/>
          <w:b/>
        </w:rPr>
        <w:t>sprzedaż</w:t>
      </w:r>
      <w:r>
        <w:rPr>
          <w:rFonts w:asciiTheme="minorHAnsi" w:hAnsiTheme="minorHAnsi"/>
        </w:rPr>
        <w:t xml:space="preserve"> nieruchomości z obrębu ewidencyjnego 5- Trzebież oznaczonej numerem działki 673/2 o powierzchni 1290 m</w:t>
      </w:r>
      <w:r>
        <w:rPr>
          <w:rFonts w:asciiTheme="minorHAnsi" w:hAnsiTheme="minorHAnsi"/>
          <w:vertAlign w:val="superscript"/>
        </w:rPr>
        <w:t>2</w:t>
      </w:r>
      <w:r>
        <w:rPr>
          <w:rFonts w:asciiTheme="minorHAnsi" w:hAnsiTheme="minorHAnsi" w:cs="Arial"/>
        </w:rPr>
        <w:t>.</w:t>
      </w:r>
    </w:p>
    <w:p w:rsidR="005B391C" w:rsidRDefault="005B391C" w:rsidP="005B391C">
      <w:pPr>
        <w:jc w:val="both"/>
        <w:rPr>
          <w:rFonts w:asciiTheme="minorHAnsi" w:hAnsiTheme="minorHAnsi" w:cs="Arial"/>
        </w:rPr>
      </w:pPr>
    </w:p>
    <w:p w:rsidR="005B391C" w:rsidRDefault="005B391C" w:rsidP="005B391C">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p>
    <w:p w:rsidR="005B391C" w:rsidRDefault="005B391C" w:rsidP="005B391C">
      <w:pPr>
        <w:jc w:val="both"/>
        <w:rPr>
          <w:rFonts w:asciiTheme="minorHAnsi" w:hAnsiTheme="minorHAnsi" w:cs="Arial"/>
        </w:rPr>
      </w:pP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lub w punkcie kasowym </w:t>
      </w:r>
      <w:r>
        <w:rPr>
          <w:rFonts w:asciiTheme="minorHAnsi" w:hAnsiTheme="minorHAnsi" w:cs="Arial"/>
        </w:rPr>
        <w:br/>
        <w:t xml:space="preserve">w Urzędzie Miejskim w Policach (pok. 41) na rachunek  Gminy Police </w:t>
      </w:r>
      <w:r>
        <w:rPr>
          <w:rFonts w:asciiTheme="minorHAnsi" w:hAnsiTheme="minorHAnsi"/>
        </w:rPr>
        <w:t>prowadzony 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17 września 2019r. </w:t>
      </w:r>
      <w:r>
        <w:rPr>
          <w:rFonts w:asciiTheme="minorHAnsi" w:hAnsiTheme="minorHAnsi"/>
          <w:b/>
          <w:bCs/>
        </w:rPr>
        <w:t>Za datę wniesienia wadium uważa się 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1000,00 zł.</w:t>
      </w: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5B391C" w:rsidRDefault="005B391C" w:rsidP="005B391C">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5B391C" w:rsidRDefault="005B391C" w:rsidP="005B391C">
      <w:pPr>
        <w:numPr>
          <w:ilvl w:val="0"/>
          <w:numId w:val="3"/>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(Dz. U. z 2014 r. poz.1490).</w:t>
      </w:r>
    </w:p>
    <w:p w:rsidR="005B391C" w:rsidRDefault="005B391C" w:rsidP="005B391C">
      <w:pPr>
        <w:jc w:val="both"/>
        <w:rPr>
          <w:rFonts w:asciiTheme="minorHAnsi" w:hAnsiTheme="minorHAnsi" w:cs="Arial"/>
        </w:rPr>
      </w:pPr>
    </w:p>
    <w:p w:rsidR="005B391C" w:rsidRDefault="005B391C" w:rsidP="005B391C"/>
    <w:p w:rsidR="005B391C" w:rsidRDefault="005B391C" w:rsidP="005B391C"/>
    <w:p w:rsidR="002A45FB" w:rsidRDefault="002A45FB">
      <w:bookmarkStart w:id="2" w:name="_GoBack"/>
      <w:bookmarkEnd w:id="2"/>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1C"/>
    <w:rsid w:val="002A45FB"/>
    <w:rsid w:val="005B391C"/>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391C"/>
    <w:pPr>
      <w:keepNext/>
      <w:overflowPunct w:val="0"/>
      <w:autoSpaceDE w:val="0"/>
      <w:autoSpaceDN w:val="0"/>
      <w:adjustRightInd w:val="0"/>
      <w:jc w:val="center"/>
      <w:outlineLvl w:val="0"/>
    </w:pPr>
    <w:rPr>
      <w:rFonts w:ascii="Arial" w:eastAsia="Calibri"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91C"/>
    <w:rPr>
      <w:rFonts w:ascii="Arial" w:eastAsia="Calibri" w:hAnsi="Arial" w:cs="Arial"/>
      <w:sz w:val="32"/>
      <w:szCs w:val="24"/>
      <w:lang w:eastAsia="pl-PL"/>
    </w:rPr>
  </w:style>
  <w:style w:type="character" w:styleId="Hipercze">
    <w:name w:val="Hyperlink"/>
    <w:semiHidden/>
    <w:unhideWhenUsed/>
    <w:rsid w:val="005B391C"/>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5B391C"/>
    <w:pPr>
      <w:overflowPunct w:val="0"/>
      <w:autoSpaceDE w:val="0"/>
      <w:autoSpaceDN w:val="0"/>
      <w:adjustRightInd w:val="0"/>
      <w:jc w:val="both"/>
    </w:pPr>
    <w:rPr>
      <w:rFonts w:ascii="Arial" w:eastAsia="Calibri" w:hAnsi="Arial"/>
      <w:szCs w:val="20"/>
    </w:rPr>
  </w:style>
  <w:style w:type="character" w:customStyle="1" w:styleId="TekstpodstawowyZnak">
    <w:name w:val="Tekst podstawowy Znak"/>
    <w:basedOn w:val="Domylnaczcionkaakapitu"/>
    <w:link w:val="Tekstpodstawowy"/>
    <w:rsid w:val="005B391C"/>
    <w:rPr>
      <w:rFonts w:ascii="Arial" w:eastAsia="Calibri" w:hAnsi="Arial" w:cs="Times New Roman"/>
      <w:sz w:val="24"/>
      <w:szCs w:val="20"/>
      <w:lang w:eastAsia="pl-PL"/>
    </w:rPr>
  </w:style>
  <w:style w:type="paragraph" w:styleId="Akapitzlist">
    <w:name w:val="List Paragraph"/>
    <w:basedOn w:val="Normalny"/>
    <w:uiPriority w:val="34"/>
    <w:qFormat/>
    <w:rsid w:val="005B391C"/>
    <w:pPr>
      <w:ind w:left="720"/>
      <w:contextualSpacing/>
    </w:pPr>
    <w:rPr>
      <w:rFonts w:eastAsia="Calibri"/>
    </w:rPr>
  </w:style>
  <w:style w:type="character" w:styleId="Uwydatnienie">
    <w:name w:val="Emphasis"/>
    <w:basedOn w:val="Domylnaczcionkaakapitu"/>
    <w:uiPriority w:val="20"/>
    <w:qFormat/>
    <w:rsid w:val="005B39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391C"/>
    <w:pPr>
      <w:keepNext/>
      <w:overflowPunct w:val="0"/>
      <w:autoSpaceDE w:val="0"/>
      <w:autoSpaceDN w:val="0"/>
      <w:adjustRightInd w:val="0"/>
      <w:jc w:val="center"/>
      <w:outlineLvl w:val="0"/>
    </w:pPr>
    <w:rPr>
      <w:rFonts w:ascii="Arial" w:eastAsia="Calibri"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91C"/>
    <w:rPr>
      <w:rFonts w:ascii="Arial" w:eastAsia="Calibri" w:hAnsi="Arial" w:cs="Arial"/>
      <w:sz w:val="32"/>
      <w:szCs w:val="24"/>
      <w:lang w:eastAsia="pl-PL"/>
    </w:rPr>
  </w:style>
  <w:style w:type="character" w:styleId="Hipercze">
    <w:name w:val="Hyperlink"/>
    <w:semiHidden/>
    <w:unhideWhenUsed/>
    <w:rsid w:val="005B391C"/>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5B391C"/>
    <w:pPr>
      <w:overflowPunct w:val="0"/>
      <w:autoSpaceDE w:val="0"/>
      <w:autoSpaceDN w:val="0"/>
      <w:adjustRightInd w:val="0"/>
      <w:jc w:val="both"/>
    </w:pPr>
    <w:rPr>
      <w:rFonts w:ascii="Arial" w:eastAsia="Calibri" w:hAnsi="Arial"/>
      <w:szCs w:val="20"/>
    </w:rPr>
  </w:style>
  <w:style w:type="character" w:customStyle="1" w:styleId="TekstpodstawowyZnak">
    <w:name w:val="Tekst podstawowy Znak"/>
    <w:basedOn w:val="Domylnaczcionkaakapitu"/>
    <w:link w:val="Tekstpodstawowy"/>
    <w:rsid w:val="005B391C"/>
    <w:rPr>
      <w:rFonts w:ascii="Arial" w:eastAsia="Calibri" w:hAnsi="Arial" w:cs="Times New Roman"/>
      <w:sz w:val="24"/>
      <w:szCs w:val="20"/>
      <w:lang w:eastAsia="pl-PL"/>
    </w:rPr>
  </w:style>
  <w:style w:type="paragraph" w:styleId="Akapitzlist">
    <w:name w:val="List Paragraph"/>
    <w:basedOn w:val="Normalny"/>
    <w:uiPriority w:val="34"/>
    <w:qFormat/>
    <w:rsid w:val="005B391C"/>
    <w:pPr>
      <w:ind w:left="720"/>
      <w:contextualSpacing/>
    </w:pPr>
    <w:rPr>
      <w:rFonts w:eastAsia="Calibri"/>
    </w:rPr>
  </w:style>
  <w:style w:type="character" w:styleId="Uwydatnienie">
    <w:name w:val="Emphasis"/>
    <w:basedOn w:val="Domylnaczcionkaakapitu"/>
    <w:uiPriority w:val="20"/>
    <w:qFormat/>
    <w:rsid w:val="005B3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2019-08-16T09:14:00Z</dcterms:created>
  <dcterms:modified xsi:type="dcterms:W3CDTF">2019-08-16T09:15:00Z</dcterms:modified>
</cp:coreProperties>
</file>