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81" w:rsidRDefault="00986981" w:rsidP="00986981">
      <w:pPr>
        <w:jc w:val="center"/>
        <w:rPr>
          <w:rFonts w:asciiTheme="minorHAnsi" w:hAnsiTheme="minorHAnsi" w:cstheme="minorHAnsi"/>
          <w:b/>
        </w:rPr>
      </w:pPr>
      <w:r>
        <w:rPr>
          <w:rFonts w:asciiTheme="minorHAnsi" w:hAnsiTheme="minorHAnsi" w:cstheme="minorHAnsi"/>
          <w:b/>
        </w:rPr>
        <w:t>Burmistrz Polic</w:t>
      </w:r>
    </w:p>
    <w:p w:rsidR="00986981" w:rsidRDefault="00986981" w:rsidP="00986981">
      <w:pPr>
        <w:jc w:val="both"/>
        <w:rPr>
          <w:rFonts w:asciiTheme="minorHAnsi" w:hAnsiTheme="minorHAnsi" w:cs="Arial"/>
          <w:sz w:val="22"/>
          <w:szCs w:val="22"/>
        </w:rPr>
      </w:pPr>
      <w:r>
        <w:rPr>
          <w:rFonts w:asciiTheme="minorHAnsi" w:hAnsiTheme="minorHAnsi" w:cstheme="minorHAnsi"/>
        </w:rPr>
        <w:t xml:space="preserve">ogłasza pierwszy przetarg ustny nieograniczony na </w:t>
      </w:r>
      <w:r>
        <w:rPr>
          <w:rFonts w:asciiTheme="minorHAnsi" w:hAnsiTheme="minorHAnsi" w:cstheme="minorHAnsi"/>
          <w:b/>
        </w:rPr>
        <w:t xml:space="preserve">sprzedaż </w:t>
      </w:r>
      <w:r>
        <w:rPr>
          <w:rFonts w:asciiTheme="minorHAnsi" w:hAnsiTheme="minorHAnsi" w:cs="Arial"/>
          <w:b/>
          <w:sz w:val="22"/>
          <w:szCs w:val="22"/>
        </w:rPr>
        <w:t>prawa użytkowania wieczystego</w:t>
      </w:r>
      <w:r>
        <w:rPr>
          <w:rFonts w:asciiTheme="minorHAnsi" w:hAnsiTheme="minorHAnsi" w:cs="Arial"/>
          <w:sz w:val="22"/>
          <w:szCs w:val="22"/>
        </w:rPr>
        <w:t xml:space="preserve">  </w:t>
      </w:r>
      <w:r w:rsidRPr="006C28EB">
        <w:rPr>
          <w:rFonts w:asciiTheme="minorHAnsi" w:hAnsiTheme="minorHAnsi" w:cs="Arial"/>
          <w:b/>
          <w:sz w:val="22"/>
          <w:szCs w:val="22"/>
        </w:rPr>
        <w:t>oraz prawa własności nieruchomości</w:t>
      </w:r>
      <w:r>
        <w:rPr>
          <w:rFonts w:asciiTheme="minorHAnsi" w:hAnsiTheme="minorHAnsi" w:cs="Arial"/>
          <w:sz w:val="22"/>
          <w:szCs w:val="22"/>
        </w:rPr>
        <w:t xml:space="preserve"> działek w Policach</w:t>
      </w:r>
    </w:p>
    <w:tbl>
      <w:tblPr>
        <w:tblStyle w:val="Tabela-Siatka"/>
        <w:tblpPr w:leftFromText="141" w:rightFromText="141" w:vertAnchor="text" w:tblpY="1"/>
        <w:tblOverlap w:val="never"/>
        <w:tblW w:w="0" w:type="auto"/>
        <w:tblInd w:w="0" w:type="dxa"/>
        <w:tblLayout w:type="fixed"/>
        <w:tblLook w:val="04A0" w:firstRow="1" w:lastRow="0" w:firstColumn="1" w:lastColumn="0" w:noHBand="0" w:noVBand="1"/>
      </w:tblPr>
      <w:tblGrid>
        <w:gridCol w:w="1242"/>
        <w:gridCol w:w="1134"/>
        <w:gridCol w:w="993"/>
        <w:gridCol w:w="2126"/>
        <w:gridCol w:w="1984"/>
        <w:gridCol w:w="1701"/>
      </w:tblGrid>
      <w:tr w:rsidR="00986981" w:rsidTr="00F479F5">
        <w:tc>
          <w:tcPr>
            <w:tcW w:w="1242" w:type="dxa"/>
            <w:tcBorders>
              <w:top w:val="single" w:sz="4" w:space="0" w:color="auto"/>
              <w:left w:val="single" w:sz="4" w:space="0" w:color="auto"/>
              <w:bottom w:val="single" w:sz="4" w:space="0" w:color="auto"/>
              <w:right w:val="single" w:sz="4" w:space="0" w:color="auto"/>
            </w:tcBorders>
            <w:hideMark/>
          </w:tcPr>
          <w:p w:rsidR="00986981" w:rsidRDefault="00986981" w:rsidP="00F479F5">
            <w:pPr>
              <w:jc w:val="both"/>
              <w:rPr>
                <w:rFonts w:asciiTheme="minorHAnsi" w:eastAsia="Times New Roman" w:hAnsiTheme="minorHAnsi"/>
                <w:b/>
                <w:sz w:val="20"/>
                <w:szCs w:val="20"/>
                <w:lang w:eastAsia="en-US"/>
              </w:rPr>
            </w:pPr>
            <w:r>
              <w:rPr>
                <w:rFonts w:asciiTheme="minorHAnsi" w:hAnsiTheme="minorHAnsi"/>
                <w:b/>
                <w:sz w:val="20"/>
                <w:szCs w:val="20"/>
                <w:lang w:eastAsia="en-US"/>
              </w:rPr>
              <w:t xml:space="preserve">POŁOŻENIE </w:t>
            </w:r>
          </w:p>
        </w:tc>
        <w:tc>
          <w:tcPr>
            <w:tcW w:w="1134" w:type="dxa"/>
            <w:tcBorders>
              <w:top w:val="single" w:sz="4" w:space="0" w:color="auto"/>
              <w:left w:val="single" w:sz="4" w:space="0" w:color="auto"/>
              <w:bottom w:val="single" w:sz="4" w:space="0" w:color="auto"/>
              <w:right w:val="single" w:sz="4" w:space="0" w:color="auto"/>
            </w:tcBorders>
            <w:hideMark/>
          </w:tcPr>
          <w:p w:rsidR="00986981" w:rsidRDefault="00986981" w:rsidP="00F479F5">
            <w:pPr>
              <w:jc w:val="center"/>
              <w:rPr>
                <w:rFonts w:asciiTheme="minorHAnsi" w:eastAsia="Times New Roman" w:hAnsiTheme="minorHAnsi"/>
                <w:b/>
                <w:sz w:val="20"/>
                <w:szCs w:val="20"/>
                <w:lang w:eastAsia="en-US"/>
              </w:rPr>
            </w:pPr>
            <w:r>
              <w:rPr>
                <w:rFonts w:asciiTheme="minorHAnsi" w:hAnsiTheme="minorHAnsi"/>
                <w:b/>
                <w:sz w:val="20"/>
                <w:szCs w:val="20"/>
                <w:lang w:eastAsia="en-US"/>
              </w:rPr>
              <w:t>NUMER</w:t>
            </w:r>
          </w:p>
          <w:p w:rsidR="00986981" w:rsidRDefault="00986981" w:rsidP="00F479F5">
            <w:pPr>
              <w:jc w:val="center"/>
              <w:rPr>
                <w:rFonts w:asciiTheme="minorHAnsi" w:eastAsia="Times New Roman" w:hAnsiTheme="minorHAnsi"/>
                <w:b/>
                <w:sz w:val="20"/>
                <w:szCs w:val="20"/>
                <w:lang w:eastAsia="en-US"/>
              </w:rPr>
            </w:pPr>
            <w:r>
              <w:rPr>
                <w:rFonts w:asciiTheme="minorHAnsi" w:hAnsiTheme="minorHAnsi"/>
                <w:b/>
                <w:sz w:val="20"/>
                <w:szCs w:val="20"/>
                <w:lang w:eastAsia="en-US"/>
              </w:rPr>
              <w:t>DZIAŁKI</w:t>
            </w:r>
          </w:p>
        </w:tc>
        <w:tc>
          <w:tcPr>
            <w:tcW w:w="993" w:type="dxa"/>
            <w:tcBorders>
              <w:top w:val="single" w:sz="4" w:space="0" w:color="auto"/>
              <w:left w:val="single" w:sz="4" w:space="0" w:color="auto"/>
              <w:bottom w:val="single" w:sz="4" w:space="0" w:color="auto"/>
              <w:right w:val="single" w:sz="4" w:space="0" w:color="auto"/>
            </w:tcBorders>
            <w:hideMark/>
          </w:tcPr>
          <w:p w:rsidR="00986981" w:rsidRDefault="00986981" w:rsidP="00F479F5">
            <w:pPr>
              <w:jc w:val="center"/>
              <w:rPr>
                <w:rFonts w:asciiTheme="minorHAnsi" w:eastAsia="Times New Roman" w:hAnsiTheme="minorHAnsi"/>
                <w:b/>
                <w:sz w:val="20"/>
                <w:szCs w:val="20"/>
                <w:lang w:eastAsia="en-US"/>
              </w:rPr>
            </w:pPr>
            <w:r>
              <w:rPr>
                <w:rFonts w:asciiTheme="minorHAnsi" w:hAnsiTheme="minorHAnsi"/>
                <w:b/>
                <w:sz w:val="20"/>
                <w:szCs w:val="20"/>
                <w:lang w:eastAsia="en-US"/>
              </w:rPr>
              <w:t>POW.</w:t>
            </w:r>
          </w:p>
        </w:tc>
        <w:tc>
          <w:tcPr>
            <w:tcW w:w="2126" w:type="dxa"/>
            <w:tcBorders>
              <w:top w:val="single" w:sz="4" w:space="0" w:color="auto"/>
              <w:left w:val="single" w:sz="4" w:space="0" w:color="auto"/>
              <w:bottom w:val="single" w:sz="4" w:space="0" w:color="auto"/>
              <w:right w:val="single" w:sz="4" w:space="0" w:color="auto"/>
            </w:tcBorders>
            <w:hideMark/>
          </w:tcPr>
          <w:p w:rsidR="00986981" w:rsidRDefault="00986981" w:rsidP="00F479F5">
            <w:pPr>
              <w:jc w:val="center"/>
              <w:rPr>
                <w:rFonts w:asciiTheme="minorHAnsi" w:eastAsia="Times New Roman" w:hAnsiTheme="minorHAnsi"/>
                <w:b/>
                <w:sz w:val="20"/>
                <w:szCs w:val="20"/>
                <w:lang w:eastAsia="en-US"/>
              </w:rPr>
            </w:pPr>
            <w:r>
              <w:rPr>
                <w:rFonts w:asciiTheme="minorHAnsi" w:hAnsiTheme="minorHAnsi"/>
                <w:b/>
                <w:sz w:val="20"/>
                <w:szCs w:val="20"/>
                <w:lang w:eastAsia="en-US"/>
              </w:rPr>
              <w:t>NUMER</w:t>
            </w:r>
          </w:p>
          <w:p w:rsidR="00986981" w:rsidRDefault="00986981" w:rsidP="00F479F5">
            <w:pPr>
              <w:jc w:val="center"/>
              <w:rPr>
                <w:rFonts w:asciiTheme="minorHAnsi" w:eastAsia="Times New Roman" w:hAnsiTheme="minorHAnsi"/>
                <w:b/>
                <w:sz w:val="20"/>
                <w:szCs w:val="20"/>
                <w:lang w:eastAsia="en-US"/>
              </w:rPr>
            </w:pPr>
            <w:r>
              <w:rPr>
                <w:rFonts w:asciiTheme="minorHAnsi" w:hAnsiTheme="minorHAnsi"/>
                <w:b/>
                <w:sz w:val="20"/>
                <w:szCs w:val="20"/>
                <w:lang w:eastAsia="en-US"/>
              </w:rPr>
              <w:t>KSIĘGI WIECZYSTEJ</w:t>
            </w:r>
          </w:p>
        </w:tc>
        <w:tc>
          <w:tcPr>
            <w:tcW w:w="1984" w:type="dxa"/>
            <w:tcBorders>
              <w:top w:val="single" w:sz="4" w:space="0" w:color="auto"/>
              <w:left w:val="single" w:sz="4" w:space="0" w:color="auto"/>
              <w:bottom w:val="single" w:sz="4" w:space="0" w:color="auto"/>
              <w:right w:val="single" w:sz="4" w:space="0" w:color="auto"/>
            </w:tcBorders>
            <w:hideMark/>
          </w:tcPr>
          <w:p w:rsidR="00986981" w:rsidRDefault="00986981" w:rsidP="00F479F5">
            <w:pPr>
              <w:jc w:val="center"/>
              <w:rPr>
                <w:rFonts w:asciiTheme="minorHAnsi" w:eastAsia="Times New Roman" w:hAnsiTheme="minorHAnsi"/>
                <w:b/>
                <w:sz w:val="20"/>
                <w:szCs w:val="20"/>
                <w:lang w:eastAsia="en-US"/>
              </w:rPr>
            </w:pPr>
            <w:r>
              <w:rPr>
                <w:rFonts w:asciiTheme="minorHAnsi" w:hAnsiTheme="minorHAnsi"/>
                <w:b/>
                <w:sz w:val="20"/>
                <w:szCs w:val="20"/>
                <w:lang w:eastAsia="en-US"/>
              </w:rPr>
              <w:t xml:space="preserve">CENA </w:t>
            </w:r>
          </w:p>
          <w:p w:rsidR="00986981" w:rsidRDefault="00986981" w:rsidP="00F479F5">
            <w:pPr>
              <w:jc w:val="center"/>
              <w:rPr>
                <w:rFonts w:asciiTheme="minorHAnsi" w:eastAsia="Times New Roman" w:hAnsiTheme="minorHAnsi"/>
                <w:b/>
                <w:sz w:val="20"/>
                <w:szCs w:val="20"/>
                <w:lang w:eastAsia="en-US"/>
              </w:rPr>
            </w:pPr>
            <w:r>
              <w:rPr>
                <w:rFonts w:asciiTheme="minorHAnsi" w:hAnsiTheme="minorHAnsi"/>
                <w:b/>
                <w:sz w:val="20"/>
                <w:szCs w:val="20"/>
                <w:lang w:eastAsia="en-US"/>
              </w:rPr>
              <w:t>WYWOŁAWCZA</w:t>
            </w:r>
          </w:p>
        </w:tc>
        <w:tc>
          <w:tcPr>
            <w:tcW w:w="1701" w:type="dxa"/>
            <w:shd w:val="clear" w:color="auto" w:fill="auto"/>
          </w:tcPr>
          <w:p w:rsidR="00986981" w:rsidRPr="00082D4F" w:rsidRDefault="00986981" w:rsidP="00F479F5">
            <w:pPr>
              <w:spacing w:after="200" w:line="276" w:lineRule="auto"/>
              <w:jc w:val="center"/>
              <w:rPr>
                <w:rFonts w:asciiTheme="minorHAnsi" w:eastAsiaTheme="minorHAnsi" w:hAnsiTheme="minorHAnsi" w:cstheme="minorBidi"/>
                <w:b/>
                <w:sz w:val="20"/>
                <w:szCs w:val="20"/>
              </w:rPr>
            </w:pPr>
            <w:r w:rsidRPr="00082D4F">
              <w:rPr>
                <w:rFonts w:asciiTheme="minorHAnsi" w:eastAsiaTheme="minorHAnsi" w:hAnsiTheme="minorHAnsi" w:cstheme="minorBidi"/>
                <w:b/>
                <w:sz w:val="20"/>
                <w:szCs w:val="20"/>
              </w:rPr>
              <w:t>WADIUM</w:t>
            </w:r>
          </w:p>
        </w:tc>
      </w:tr>
      <w:tr w:rsidR="00986981" w:rsidTr="00F479F5">
        <w:trPr>
          <w:trHeight w:val="1482"/>
        </w:trPr>
        <w:tc>
          <w:tcPr>
            <w:tcW w:w="1242" w:type="dxa"/>
            <w:vMerge w:val="restart"/>
            <w:tcBorders>
              <w:top w:val="single" w:sz="4" w:space="0" w:color="auto"/>
              <w:left w:val="single" w:sz="4" w:space="0" w:color="auto"/>
              <w:bottom w:val="single" w:sz="4" w:space="0" w:color="auto"/>
              <w:right w:val="single" w:sz="4" w:space="0" w:color="auto"/>
            </w:tcBorders>
          </w:tcPr>
          <w:p w:rsidR="00986981" w:rsidRDefault="00986981" w:rsidP="00F479F5">
            <w:pPr>
              <w:rPr>
                <w:rFonts w:asciiTheme="minorHAnsi" w:eastAsia="Times New Roman" w:hAnsiTheme="minorHAnsi"/>
                <w:sz w:val="20"/>
                <w:szCs w:val="20"/>
                <w:lang w:eastAsia="en-US"/>
              </w:rPr>
            </w:pPr>
          </w:p>
          <w:p w:rsidR="00986981" w:rsidRDefault="00986981" w:rsidP="00F479F5">
            <w:pPr>
              <w:rPr>
                <w:rFonts w:asciiTheme="minorHAnsi" w:hAnsiTheme="minorHAnsi"/>
                <w:sz w:val="20"/>
                <w:szCs w:val="20"/>
                <w:lang w:eastAsia="en-US"/>
              </w:rPr>
            </w:pPr>
          </w:p>
          <w:p w:rsidR="00986981" w:rsidRDefault="00986981" w:rsidP="00F479F5">
            <w:pPr>
              <w:rPr>
                <w:rFonts w:asciiTheme="minorHAnsi" w:hAnsiTheme="minorHAnsi"/>
                <w:sz w:val="20"/>
                <w:szCs w:val="20"/>
                <w:lang w:eastAsia="en-US"/>
              </w:rPr>
            </w:pPr>
          </w:p>
          <w:p w:rsidR="00986981" w:rsidRDefault="00986981" w:rsidP="00F479F5">
            <w:pPr>
              <w:rPr>
                <w:rFonts w:asciiTheme="minorHAnsi" w:hAnsiTheme="minorHAnsi"/>
                <w:sz w:val="20"/>
                <w:szCs w:val="20"/>
                <w:lang w:eastAsia="en-US"/>
              </w:rPr>
            </w:pPr>
            <w:r>
              <w:rPr>
                <w:rFonts w:asciiTheme="minorHAnsi" w:hAnsiTheme="minorHAnsi"/>
                <w:sz w:val="20"/>
                <w:szCs w:val="20"/>
                <w:lang w:eastAsia="en-US"/>
              </w:rPr>
              <w:t>m. Police</w:t>
            </w:r>
          </w:p>
          <w:p w:rsidR="00986981" w:rsidRDefault="00986981" w:rsidP="00F479F5">
            <w:pPr>
              <w:rPr>
                <w:rFonts w:asciiTheme="minorHAnsi" w:hAnsiTheme="minorHAnsi"/>
                <w:sz w:val="20"/>
                <w:szCs w:val="20"/>
                <w:lang w:eastAsia="en-US"/>
              </w:rPr>
            </w:pPr>
            <w:r>
              <w:rPr>
                <w:rFonts w:asciiTheme="minorHAnsi" w:hAnsiTheme="minorHAnsi"/>
                <w:sz w:val="20"/>
                <w:szCs w:val="20"/>
                <w:lang w:eastAsia="en-US"/>
              </w:rPr>
              <w:t>obręb 2-Police</w:t>
            </w:r>
          </w:p>
          <w:p w:rsidR="00986981" w:rsidRDefault="00986981" w:rsidP="00F479F5">
            <w:pPr>
              <w:rPr>
                <w:rFonts w:asciiTheme="minorHAnsi" w:eastAsia="Times New Roman" w:hAnsi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6981" w:rsidRDefault="00986981" w:rsidP="00F479F5">
            <w:pPr>
              <w:rPr>
                <w:rFonts w:asciiTheme="minorHAnsi" w:eastAsia="Times New Roman" w:hAnsiTheme="minorHAnsi"/>
                <w:sz w:val="20"/>
                <w:szCs w:val="20"/>
                <w:lang w:eastAsia="en-US"/>
              </w:rPr>
            </w:pPr>
            <w:r>
              <w:rPr>
                <w:rFonts w:asciiTheme="minorHAnsi" w:hAnsiTheme="minorHAnsi"/>
                <w:sz w:val="20"/>
                <w:szCs w:val="20"/>
                <w:lang w:eastAsia="en-US"/>
              </w:rPr>
              <w:t>1121</w:t>
            </w:r>
          </w:p>
          <w:p w:rsidR="00986981" w:rsidRDefault="00986981" w:rsidP="00F479F5">
            <w:pPr>
              <w:rPr>
                <w:rFonts w:asciiTheme="minorHAnsi" w:hAnsiTheme="minorHAnsi"/>
                <w:sz w:val="20"/>
                <w:szCs w:val="20"/>
                <w:lang w:eastAsia="en-US"/>
              </w:rPr>
            </w:pPr>
            <w:r>
              <w:rPr>
                <w:rFonts w:asciiTheme="minorHAnsi" w:hAnsiTheme="minorHAnsi"/>
                <w:sz w:val="20"/>
                <w:szCs w:val="20"/>
                <w:lang w:eastAsia="en-US"/>
              </w:rPr>
              <w:t>1122</w:t>
            </w:r>
          </w:p>
          <w:p w:rsidR="00986981" w:rsidRDefault="00986981" w:rsidP="00F479F5">
            <w:pPr>
              <w:rPr>
                <w:rFonts w:asciiTheme="minorHAnsi" w:hAnsiTheme="minorHAnsi"/>
                <w:sz w:val="20"/>
                <w:szCs w:val="20"/>
                <w:lang w:eastAsia="en-US"/>
              </w:rPr>
            </w:pPr>
            <w:r>
              <w:rPr>
                <w:rFonts w:asciiTheme="minorHAnsi" w:hAnsiTheme="minorHAnsi"/>
                <w:sz w:val="20"/>
                <w:szCs w:val="20"/>
                <w:lang w:eastAsia="en-US"/>
              </w:rPr>
              <w:t>1123</w:t>
            </w:r>
          </w:p>
          <w:p w:rsidR="00986981" w:rsidRDefault="00986981" w:rsidP="00F479F5">
            <w:pPr>
              <w:rPr>
                <w:rFonts w:asciiTheme="minorHAnsi" w:hAnsiTheme="minorHAnsi"/>
                <w:sz w:val="20"/>
                <w:szCs w:val="20"/>
                <w:lang w:eastAsia="en-US"/>
              </w:rPr>
            </w:pPr>
            <w:r>
              <w:rPr>
                <w:rFonts w:asciiTheme="minorHAnsi" w:hAnsiTheme="minorHAnsi"/>
                <w:sz w:val="20"/>
                <w:szCs w:val="20"/>
                <w:lang w:eastAsia="en-US"/>
              </w:rPr>
              <w:t>1125</w:t>
            </w:r>
          </w:p>
          <w:p w:rsidR="00986981" w:rsidRDefault="00986981" w:rsidP="00F479F5">
            <w:pPr>
              <w:rPr>
                <w:rFonts w:asciiTheme="minorHAnsi" w:eastAsia="Times New Roman" w:hAnsiTheme="minorHAnsi"/>
                <w:sz w:val="20"/>
                <w:szCs w:val="20"/>
                <w:lang w:eastAsia="en-US"/>
              </w:rPr>
            </w:pPr>
            <w:r>
              <w:rPr>
                <w:rFonts w:asciiTheme="minorHAnsi" w:hAnsiTheme="minorHAnsi"/>
                <w:sz w:val="20"/>
                <w:szCs w:val="20"/>
                <w:lang w:eastAsia="en-US"/>
              </w:rPr>
              <w:t>1127</w:t>
            </w:r>
          </w:p>
        </w:tc>
        <w:tc>
          <w:tcPr>
            <w:tcW w:w="993" w:type="dxa"/>
            <w:tcBorders>
              <w:top w:val="single" w:sz="4" w:space="0" w:color="auto"/>
              <w:left w:val="single" w:sz="4" w:space="0" w:color="auto"/>
              <w:bottom w:val="single" w:sz="4" w:space="0" w:color="auto"/>
              <w:right w:val="single" w:sz="4" w:space="0" w:color="auto"/>
            </w:tcBorders>
            <w:hideMark/>
          </w:tcPr>
          <w:p w:rsidR="00986981" w:rsidRDefault="00986981" w:rsidP="00F479F5">
            <w:pPr>
              <w:rPr>
                <w:rFonts w:asciiTheme="minorHAnsi" w:eastAsia="Times New Roman" w:hAnsiTheme="minorHAnsi"/>
                <w:sz w:val="20"/>
                <w:szCs w:val="20"/>
                <w:vertAlign w:val="superscript"/>
                <w:lang w:eastAsia="en-US"/>
              </w:rPr>
            </w:pPr>
            <w:r>
              <w:rPr>
                <w:rFonts w:asciiTheme="minorHAnsi" w:hAnsiTheme="minorHAnsi"/>
                <w:sz w:val="20"/>
                <w:szCs w:val="20"/>
                <w:lang w:eastAsia="en-US"/>
              </w:rPr>
              <w:t>3184 m</w:t>
            </w:r>
            <w:r>
              <w:rPr>
                <w:rFonts w:asciiTheme="minorHAnsi" w:hAnsiTheme="minorHAnsi"/>
                <w:sz w:val="20"/>
                <w:szCs w:val="20"/>
                <w:vertAlign w:val="superscript"/>
                <w:lang w:eastAsia="en-US"/>
              </w:rPr>
              <w:t>2</w:t>
            </w:r>
          </w:p>
          <w:p w:rsidR="00986981" w:rsidRDefault="00986981" w:rsidP="00F479F5">
            <w:pPr>
              <w:rPr>
                <w:rFonts w:asciiTheme="minorHAnsi" w:hAnsiTheme="minorHAnsi"/>
                <w:sz w:val="20"/>
                <w:szCs w:val="20"/>
                <w:vertAlign w:val="superscript"/>
                <w:lang w:eastAsia="en-US"/>
              </w:rPr>
            </w:pPr>
            <w:r>
              <w:rPr>
                <w:rFonts w:asciiTheme="minorHAnsi" w:hAnsiTheme="minorHAnsi"/>
                <w:sz w:val="20"/>
                <w:szCs w:val="20"/>
                <w:lang w:eastAsia="en-US"/>
              </w:rPr>
              <w:t xml:space="preserve">  439 m</w:t>
            </w:r>
            <w:r>
              <w:rPr>
                <w:rFonts w:asciiTheme="minorHAnsi" w:hAnsiTheme="minorHAnsi"/>
                <w:sz w:val="20"/>
                <w:szCs w:val="20"/>
                <w:vertAlign w:val="superscript"/>
                <w:lang w:eastAsia="en-US"/>
              </w:rPr>
              <w:t>2</w:t>
            </w:r>
          </w:p>
          <w:p w:rsidR="00986981" w:rsidRDefault="00986981" w:rsidP="00F479F5">
            <w:pPr>
              <w:rPr>
                <w:rFonts w:asciiTheme="minorHAnsi" w:hAnsiTheme="minorHAnsi"/>
                <w:sz w:val="20"/>
                <w:szCs w:val="20"/>
                <w:lang w:eastAsia="en-US"/>
              </w:rPr>
            </w:pPr>
            <w:r>
              <w:rPr>
                <w:rFonts w:asciiTheme="minorHAnsi" w:hAnsiTheme="minorHAnsi"/>
                <w:sz w:val="20"/>
                <w:szCs w:val="20"/>
                <w:lang w:eastAsia="en-US"/>
              </w:rPr>
              <w:t>2840 m</w:t>
            </w:r>
            <w:r>
              <w:rPr>
                <w:rFonts w:asciiTheme="minorHAnsi" w:hAnsiTheme="minorHAnsi"/>
                <w:sz w:val="20"/>
                <w:szCs w:val="20"/>
                <w:vertAlign w:val="superscript"/>
                <w:lang w:eastAsia="en-US"/>
              </w:rPr>
              <w:t>2</w:t>
            </w:r>
          </w:p>
          <w:p w:rsidR="00986981" w:rsidRDefault="00986981" w:rsidP="00F479F5">
            <w:pPr>
              <w:rPr>
                <w:rFonts w:asciiTheme="minorHAnsi" w:hAnsiTheme="minorHAnsi"/>
                <w:sz w:val="20"/>
                <w:szCs w:val="20"/>
                <w:lang w:eastAsia="en-US"/>
              </w:rPr>
            </w:pPr>
            <w:r>
              <w:rPr>
                <w:rFonts w:asciiTheme="minorHAnsi" w:hAnsiTheme="minorHAnsi"/>
                <w:sz w:val="20"/>
                <w:szCs w:val="20"/>
                <w:lang w:eastAsia="en-US"/>
              </w:rPr>
              <w:t>4734 m</w:t>
            </w:r>
            <w:r>
              <w:rPr>
                <w:rFonts w:asciiTheme="minorHAnsi" w:hAnsiTheme="minorHAnsi"/>
                <w:sz w:val="20"/>
                <w:szCs w:val="20"/>
                <w:vertAlign w:val="superscript"/>
                <w:lang w:eastAsia="en-US"/>
              </w:rPr>
              <w:t>2</w:t>
            </w:r>
          </w:p>
          <w:p w:rsidR="00986981" w:rsidRDefault="00986981" w:rsidP="00F479F5">
            <w:pPr>
              <w:rPr>
                <w:rFonts w:asciiTheme="minorHAnsi" w:eastAsia="Times New Roman" w:hAnsiTheme="minorHAnsi"/>
                <w:sz w:val="20"/>
                <w:szCs w:val="20"/>
                <w:lang w:eastAsia="en-US"/>
              </w:rPr>
            </w:pPr>
            <w:r>
              <w:rPr>
                <w:rFonts w:asciiTheme="minorHAnsi" w:hAnsiTheme="minorHAnsi"/>
                <w:sz w:val="20"/>
                <w:szCs w:val="20"/>
                <w:lang w:eastAsia="en-US"/>
              </w:rPr>
              <w:t>3043 m</w:t>
            </w:r>
            <w:r>
              <w:rPr>
                <w:rFonts w:asciiTheme="minorHAnsi" w:hAnsiTheme="minorHAnsi"/>
                <w:sz w:val="20"/>
                <w:szCs w:val="20"/>
                <w:vertAlign w:val="superscript"/>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986981" w:rsidRDefault="00986981" w:rsidP="00F479F5">
            <w:pPr>
              <w:rPr>
                <w:rFonts w:asciiTheme="minorHAnsi" w:eastAsia="Times New Roman" w:hAnsiTheme="minorHAnsi"/>
                <w:sz w:val="20"/>
                <w:szCs w:val="20"/>
                <w:lang w:eastAsia="en-US"/>
              </w:rPr>
            </w:pPr>
            <w:r>
              <w:rPr>
                <w:rFonts w:asciiTheme="minorHAnsi" w:hAnsiTheme="minorHAnsi"/>
                <w:sz w:val="20"/>
                <w:szCs w:val="20"/>
                <w:lang w:eastAsia="en-US"/>
              </w:rPr>
              <w:t>KW SZ2S/00034936/6</w:t>
            </w:r>
          </w:p>
          <w:p w:rsidR="00986981" w:rsidRDefault="00986981" w:rsidP="00F479F5">
            <w:pPr>
              <w:rPr>
                <w:rFonts w:asciiTheme="minorHAnsi" w:hAnsiTheme="minorHAnsi"/>
                <w:sz w:val="20"/>
                <w:szCs w:val="20"/>
                <w:lang w:eastAsia="en-US"/>
              </w:rPr>
            </w:pPr>
            <w:r>
              <w:rPr>
                <w:rFonts w:asciiTheme="minorHAnsi" w:hAnsiTheme="minorHAnsi"/>
                <w:sz w:val="20"/>
                <w:szCs w:val="20"/>
                <w:lang w:eastAsia="en-US"/>
              </w:rPr>
              <w:t>KW SZ2S/00010532/0</w:t>
            </w:r>
          </w:p>
          <w:p w:rsidR="00986981" w:rsidRDefault="00986981" w:rsidP="00F479F5">
            <w:pPr>
              <w:rPr>
                <w:rFonts w:asciiTheme="minorHAnsi" w:hAnsiTheme="minorHAnsi"/>
                <w:sz w:val="20"/>
                <w:szCs w:val="20"/>
                <w:lang w:eastAsia="en-US"/>
              </w:rPr>
            </w:pPr>
            <w:r>
              <w:rPr>
                <w:rFonts w:asciiTheme="minorHAnsi" w:hAnsiTheme="minorHAnsi"/>
                <w:sz w:val="20"/>
                <w:szCs w:val="20"/>
                <w:lang w:eastAsia="en-US"/>
              </w:rPr>
              <w:t>KW SZ2S/00007895/8</w:t>
            </w:r>
          </w:p>
          <w:p w:rsidR="00986981" w:rsidRDefault="00986981" w:rsidP="00F479F5">
            <w:pPr>
              <w:rPr>
                <w:rFonts w:asciiTheme="minorHAnsi" w:hAnsiTheme="minorHAnsi"/>
                <w:sz w:val="20"/>
                <w:szCs w:val="20"/>
                <w:lang w:eastAsia="en-US"/>
              </w:rPr>
            </w:pPr>
            <w:r>
              <w:rPr>
                <w:rFonts w:asciiTheme="minorHAnsi" w:hAnsiTheme="minorHAnsi"/>
                <w:sz w:val="20"/>
                <w:szCs w:val="20"/>
                <w:lang w:eastAsia="en-US"/>
              </w:rPr>
              <w:t>KW SZ2S/00001378/6</w:t>
            </w:r>
          </w:p>
          <w:p w:rsidR="00986981" w:rsidRDefault="00986981" w:rsidP="00F479F5">
            <w:pPr>
              <w:rPr>
                <w:rFonts w:asciiTheme="minorHAnsi" w:eastAsia="Times New Roman" w:hAnsiTheme="minorHAnsi"/>
                <w:sz w:val="20"/>
                <w:szCs w:val="20"/>
                <w:lang w:eastAsia="en-US"/>
              </w:rPr>
            </w:pPr>
            <w:r>
              <w:rPr>
                <w:rFonts w:asciiTheme="minorHAnsi" w:hAnsiTheme="minorHAnsi"/>
                <w:sz w:val="20"/>
                <w:szCs w:val="20"/>
                <w:lang w:eastAsia="en-US"/>
              </w:rPr>
              <w:t>KW SZ2S/00001378/6</w:t>
            </w:r>
          </w:p>
        </w:tc>
        <w:tc>
          <w:tcPr>
            <w:tcW w:w="1984" w:type="dxa"/>
            <w:vMerge w:val="restart"/>
            <w:tcBorders>
              <w:top w:val="single" w:sz="4" w:space="0" w:color="auto"/>
              <w:left w:val="single" w:sz="4" w:space="0" w:color="auto"/>
              <w:bottom w:val="single" w:sz="4" w:space="0" w:color="auto"/>
              <w:right w:val="single" w:sz="4" w:space="0" w:color="auto"/>
            </w:tcBorders>
          </w:tcPr>
          <w:p w:rsidR="00986981" w:rsidRDefault="00986981" w:rsidP="00F479F5">
            <w:pPr>
              <w:rPr>
                <w:rFonts w:asciiTheme="minorHAnsi" w:eastAsia="Times New Roman" w:hAnsiTheme="minorHAnsi"/>
                <w:sz w:val="20"/>
                <w:szCs w:val="20"/>
                <w:lang w:eastAsia="en-US"/>
              </w:rPr>
            </w:pPr>
          </w:p>
          <w:p w:rsidR="00986981" w:rsidRDefault="00986981" w:rsidP="00F479F5">
            <w:pPr>
              <w:rPr>
                <w:rFonts w:asciiTheme="minorHAnsi" w:hAnsiTheme="minorHAnsi"/>
                <w:sz w:val="20"/>
                <w:szCs w:val="20"/>
                <w:lang w:eastAsia="en-US"/>
              </w:rPr>
            </w:pPr>
            <w:r>
              <w:rPr>
                <w:rFonts w:asciiTheme="minorHAnsi" w:hAnsiTheme="minorHAnsi"/>
                <w:sz w:val="20"/>
                <w:szCs w:val="20"/>
                <w:lang w:eastAsia="en-US"/>
              </w:rPr>
              <w:t>443 400,00 zł brutto</w:t>
            </w:r>
          </w:p>
          <w:p w:rsidR="00986981" w:rsidRDefault="00986981" w:rsidP="00F479F5">
            <w:pPr>
              <w:rPr>
                <w:rFonts w:asciiTheme="minorHAnsi" w:eastAsia="Times New Roman" w:hAnsiTheme="minorHAnsi"/>
                <w:sz w:val="20"/>
                <w:szCs w:val="20"/>
                <w:lang w:eastAsia="en-US"/>
              </w:rPr>
            </w:pPr>
            <w:r>
              <w:rPr>
                <w:rFonts w:asciiTheme="minorHAnsi" w:hAnsiTheme="minorHAnsi"/>
                <w:sz w:val="20"/>
                <w:szCs w:val="20"/>
                <w:lang w:eastAsia="en-US"/>
              </w:rPr>
              <w:t>(zawiera podatek VAT w stawce 23%)</w:t>
            </w:r>
          </w:p>
        </w:tc>
        <w:tc>
          <w:tcPr>
            <w:tcW w:w="1701" w:type="dxa"/>
            <w:vMerge w:val="restart"/>
            <w:shd w:val="clear" w:color="auto" w:fill="auto"/>
          </w:tcPr>
          <w:p w:rsidR="00986981" w:rsidRDefault="00986981" w:rsidP="00F479F5">
            <w:pPr>
              <w:spacing w:after="200" w:line="276" w:lineRule="auto"/>
              <w:rPr>
                <w:rFonts w:asciiTheme="minorHAnsi" w:eastAsiaTheme="minorHAnsi" w:hAnsiTheme="minorHAnsi" w:cstheme="minorBidi"/>
                <w:sz w:val="20"/>
                <w:szCs w:val="20"/>
              </w:rPr>
            </w:pPr>
          </w:p>
          <w:p w:rsidR="00986981" w:rsidRDefault="00986981" w:rsidP="00F479F5">
            <w:pPr>
              <w:spacing w:after="200"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23 000,00 zł</w:t>
            </w:r>
          </w:p>
        </w:tc>
      </w:tr>
      <w:tr w:rsidR="00986981" w:rsidTr="00F479F5">
        <w:trPr>
          <w:trHeight w:val="106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986981" w:rsidRDefault="00986981" w:rsidP="00F479F5">
            <w:pPr>
              <w:rPr>
                <w:rFonts w:asciiTheme="minorHAnsi" w:eastAsia="Times New Roman" w:hAnsi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6981" w:rsidRDefault="00986981" w:rsidP="00F479F5">
            <w:pPr>
              <w:rPr>
                <w:rFonts w:asciiTheme="minorHAnsi" w:eastAsia="Times New Roman" w:hAnsiTheme="minorHAnsi"/>
                <w:sz w:val="22"/>
                <w:szCs w:val="22"/>
                <w:lang w:eastAsia="en-US"/>
              </w:rPr>
            </w:pPr>
            <w:r>
              <w:rPr>
                <w:rFonts w:asciiTheme="minorHAnsi" w:hAnsiTheme="minorHAnsi"/>
                <w:sz w:val="22"/>
                <w:szCs w:val="22"/>
                <w:lang w:eastAsia="en-US"/>
              </w:rPr>
              <w:t>1120</w:t>
            </w:r>
          </w:p>
          <w:p w:rsidR="00986981" w:rsidRDefault="00986981" w:rsidP="00F479F5">
            <w:pPr>
              <w:rPr>
                <w:rFonts w:asciiTheme="minorHAnsi" w:hAnsiTheme="minorHAnsi"/>
                <w:sz w:val="22"/>
                <w:szCs w:val="22"/>
                <w:lang w:eastAsia="en-US"/>
              </w:rPr>
            </w:pPr>
            <w:r>
              <w:rPr>
                <w:rFonts w:asciiTheme="minorHAnsi" w:hAnsiTheme="minorHAnsi"/>
                <w:sz w:val="22"/>
                <w:szCs w:val="22"/>
                <w:lang w:eastAsia="en-US"/>
              </w:rPr>
              <w:t>1126</w:t>
            </w:r>
          </w:p>
          <w:p w:rsidR="00986981" w:rsidRDefault="00986981" w:rsidP="00F479F5">
            <w:pPr>
              <w:rPr>
                <w:rFonts w:asciiTheme="minorHAnsi" w:eastAsia="Times New Roman" w:hAnsiTheme="minorHAnsi"/>
                <w:sz w:val="22"/>
                <w:szCs w:val="22"/>
                <w:lang w:eastAsia="en-US"/>
              </w:rPr>
            </w:pPr>
            <w:r>
              <w:rPr>
                <w:rFonts w:asciiTheme="minorHAnsi" w:hAnsiTheme="minorHAnsi"/>
                <w:sz w:val="22"/>
                <w:szCs w:val="22"/>
                <w:lang w:eastAsia="en-US"/>
              </w:rPr>
              <w:t>1128</w:t>
            </w:r>
          </w:p>
        </w:tc>
        <w:tc>
          <w:tcPr>
            <w:tcW w:w="993" w:type="dxa"/>
            <w:tcBorders>
              <w:top w:val="single" w:sz="4" w:space="0" w:color="auto"/>
              <w:left w:val="single" w:sz="4" w:space="0" w:color="auto"/>
              <w:bottom w:val="single" w:sz="4" w:space="0" w:color="auto"/>
              <w:right w:val="single" w:sz="4" w:space="0" w:color="auto"/>
            </w:tcBorders>
            <w:hideMark/>
          </w:tcPr>
          <w:p w:rsidR="00986981" w:rsidRDefault="00986981" w:rsidP="00F479F5">
            <w:pPr>
              <w:rPr>
                <w:rFonts w:asciiTheme="minorHAnsi" w:eastAsia="Times New Roman" w:hAnsiTheme="minorHAnsi"/>
                <w:sz w:val="22"/>
                <w:szCs w:val="22"/>
                <w:vertAlign w:val="superscript"/>
                <w:lang w:eastAsia="en-US"/>
              </w:rPr>
            </w:pPr>
            <w:r>
              <w:rPr>
                <w:rFonts w:asciiTheme="minorHAnsi" w:hAnsiTheme="minorHAnsi"/>
                <w:sz w:val="22"/>
                <w:szCs w:val="22"/>
                <w:lang w:eastAsia="en-US"/>
              </w:rPr>
              <w:t>131 m</w:t>
            </w:r>
            <w:r>
              <w:rPr>
                <w:rFonts w:asciiTheme="minorHAnsi" w:hAnsiTheme="minorHAnsi"/>
                <w:sz w:val="22"/>
                <w:szCs w:val="22"/>
                <w:vertAlign w:val="superscript"/>
                <w:lang w:eastAsia="en-US"/>
              </w:rPr>
              <w:t>2</w:t>
            </w:r>
          </w:p>
          <w:p w:rsidR="00986981" w:rsidRDefault="00986981" w:rsidP="00F479F5">
            <w:pPr>
              <w:rPr>
                <w:rFonts w:asciiTheme="minorHAnsi" w:hAnsiTheme="minorHAnsi"/>
                <w:sz w:val="22"/>
                <w:szCs w:val="22"/>
                <w:vertAlign w:val="superscript"/>
                <w:lang w:eastAsia="en-US"/>
              </w:rPr>
            </w:pPr>
            <w:r>
              <w:rPr>
                <w:rFonts w:asciiTheme="minorHAnsi" w:hAnsiTheme="minorHAnsi"/>
                <w:sz w:val="22"/>
                <w:szCs w:val="22"/>
                <w:lang w:eastAsia="en-US"/>
              </w:rPr>
              <w:t>243 m</w:t>
            </w:r>
            <w:r>
              <w:rPr>
                <w:rFonts w:asciiTheme="minorHAnsi" w:hAnsiTheme="minorHAnsi"/>
                <w:sz w:val="22"/>
                <w:szCs w:val="22"/>
                <w:vertAlign w:val="superscript"/>
                <w:lang w:eastAsia="en-US"/>
              </w:rPr>
              <w:t>2</w:t>
            </w:r>
          </w:p>
          <w:p w:rsidR="00986981" w:rsidRDefault="00986981" w:rsidP="00F479F5">
            <w:pPr>
              <w:rPr>
                <w:rFonts w:asciiTheme="minorHAnsi" w:eastAsia="Times New Roman" w:hAnsiTheme="minorHAnsi"/>
                <w:sz w:val="22"/>
                <w:szCs w:val="22"/>
                <w:vertAlign w:val="superscript"/>
                <w:lang w:eastAsia="en-US"/>
              </w:rPr>
            </w:pPr>
            <w:r>
              <w:rPr>
                <w:rFonts w:asciiTheme="minorHAnsi" w:hAnsiTheme="minorHAnsi"/>
                <w:sz w:val="22"/>
                <w:szCs w:val="22"/>
                <w:lang w:eastAsia="en-US"/>
              </w:rPr>
              <w:t>119 m</w:t>
            </w:r>
            <w:r>
              <w:rPr>
                <w:rFonts w:asciiTheme="minorHAnsi" w:hAnsiTheme="minorHAnsi"/>
                <w:sz w:val="22"/>
                <w:szCs w:val="22"/>
                <w:vertAlign w:val="superscript"/>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986981" w:rsidRPr="00082D4F" w:rsidRDefault="00986981" w:rsidP="00F479F5">
            <w:pPr>
              <w:rPr>
                <w:rFonts w:asciiTheme="minorHAnsi" w:eastAsia="Times New Roman" w:hAnsiTheme="minorHAnsi"/>
                <w:sz w:val="20"/>
                <w:szCs w:val="20"/>
                <w:lang w:eastAsia="en-US"/>
              </w:rPr>
            </w:pPr>
            <w:r w:rsidRPr="00082D4F">
              <w:rPr>
                <w:rFonts w:asciiTheme="minorHAnsi" w:hAnsiTheme="minorHAnsi"/>
                <w:sz w:val="20"/>
                <w:szCs w:val="20"/>
                <w:lang w:eastAsia="en-US"/>
              </w:rPr>
              <w:t>KW SZ2S/00033418/2</w:t>
            </w:r>
          </w:p>
          <w:p w:rsidR="00986981" w:rsidRPr="00082D4F" w:rsidRDefault="00986981" w:rsidP="00F479F5">
            <w:pPr>
              <w:rPr>
                <w:rFonts w:asciiTheme="minorHAnsi" w:hAnsiTheme="minorHAnsi"/>
                <w:sz w:val="20"/>
                <w:szCs w:val="20"/>
                <w:lang w:eastAsia="en-US"/>
              </w:rPr>
            </w:pPr>
            <w:r w:rsidRPr="00082D4F">
              <w:rPr>
                <w:rFonts w:asciiTheme="minorHAnsi" w:hAnsiTheme="minorHAnsi"/>
                <w:sz w:val="20"/>
                <w:szCs w:val="20"/>
                <w:lang w:eastAsia="en-US"/>
              </w:rPr>
              <w:t>KW SZ2S/00034162/9</w:t>
            </w:r>
          </w:p>
          <w:p w:rsidR="00986981" w:rsidRDefault="00986981" w:rsidP="00F479F5">
            <w:pPr>
              <w:rPr>
                <w:rFonts w:asciiTheme="minorHAnsi" w:eastAsia="Times New Roman" w:hAnsiTheme="minorHAnsi"/>
                <w:sz w:val="22"/>
                <w:szCs w:val="22"/>
                <w:lang w:eastAsia="en-US"/>
              </w:rPr>
            </w:pPr>
            <w:r w:rsidRPr="00082D4F">
              <w:rPr>
                <w:rFonts w:asciiTheme="minorHAnsi" w:hAnsiTheme="minorHAnsi"/>
                <w:sz w:val="20"/>
                <w:szCs w:val="20"/>
                <w:lang w:eastAsia="en-US"/>
              </w:rPr>
              <w:t>KW SZ2S/00034162/9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86981" w:rsidRDefault="00986981" w:rsidP="00F479F5">
            <w:pPr>
              <w:rPr>
                <w:rFonts w:asciiTheme="minorHAnsi" w:eastAsia="Times New Roman" w:hAnsiTheme="minorHAnsi"/>
                <w:sz w:val="20"/>
                <w:szCs w:val="20"/>
                <w:lang w:eastAsia="en-US"/>
              </w:rPr>
            </w:pPr>
          </w:p>
        </w:tc>
        <w:tc>
          <w:tcPr>
            <w:tcW w:w="1701" w:type="dxa"/>
            <w:vMerge/>
            <w:shd w:val="clear" w:color="auto" w:fill="auto"/>
          </w:tcPr>
          <w:p w:rsidR="00986981" w:rsidRDefault="00986981" w:rsidP="00F479F5">
            <w:pPr>
              <w:spacing w:after="200" w:line="276" w:lineRule="auto"/>
              <w:rPr>
                <w:rFonts w:asciiTheme="minorHAnsi" w:eastAsiaTheme="minorHAnsi" w:hAnsiTheme="minorHAnsi" w:cstheme="minorBidi"/>
                <w:sz w:val="20"/>
                <w:szCs w:val="20"/>
              </w:rPr>
            </w:pPr>
          </w:p>
        </w:tc>
      </w:tr>
    </w:tbl>
    <w:p w:rsidR="00986981" w:rsidRDefault="00986981" w:rsidP="00986981">
      <w:pPr>
        <w:pStyle w:val="Tekstpodstawowy"/>
        <w:rPr>
          <w:rFonts w:asciiTheme="minorHAnsi" w:hAnsiTheme="minorHAnsi" w:cstheme="minorHAnsi"/>
          <w:b/>
        </w:rPr>
      </w:pPr>
    </w:p>
    <w:p w:rsidR="00986981" w:rsidRPr="00D502E8" w:rsidRDefault="00986981" w:rsidP="00986981">
      <w:pPr>
        <w:jc w:val="both"/>
        <w:rPr>
          <w:rFonts w:asciiTheme="minorHAnsi" w:hAnsiTheme="minorHAnsi"/>
        </w:rPr>
      </w:pPr>
      <w:r w:rsidRPr="00D502E8">
        <w:rPr>
          <w:rFonts w:asciiTheme="minorHAnsi" w:hAnsiTheme="minorHAnsi" w:cstheme="minorHAnsi"/>
          <w:b/>
        </w:rPr>
        <w:t>Opis nieruchomości</w:t>
      </w:r>
      <w:r>
        <w:rPr>
          <w:rFonts w:asciiTheme="minorHAnsi" w:hAnsiTheme="minorHAnsi" w:cstheme="minorHAnsi"/>
          <w:b/>
        </w:rPr>
        <w:t>:</w:t>
      </w:r>
      <w:r w:rsidRPr="00D502E8">
        <w:rPr>
          <w:rFonts w:asciiTheme="minorHAnsi" w:hAnsiTheme="minorHAnsi" w:cstheme="minorHAnsi"/>
          <w:b/>
        </w:rPr>
        <w:t xml:space="preserve"> </w:t>
      </w:r>
      <w:r w:rsidRPr="00D502E8">
        <w:rPr>
          <w:rFonts w:asciiTheme="minorHAnsi" w:hAnsiTheme="minorHAnsi"/>
        </w:rPr>
        <w:t xml:space="preserve"> </w:t>
      </w:r>
      <w:r>
        <w:rPr>
          <w:rFonts w:asciiTheme="minorHAnsi" w:hAnsiTheme="minorHAnsi"/>
        </w:rPr>
        <w:t>n</w:t>
      </w:r>
      <w:r w:rsidRPr="00D502E8">
        <w:rPr>
          <w:rFonts w:asciiTheme="minorHAnsi" w:hAnsiTheme="minorHAnsi"/>
        </w:rPr>
        <w:t>ieruchomoś</w:t>
      </w:r>
      <w:r>
        <w:rPr>
          <w:rFonts w:asciiTheme="minorHAnsi" w:hAnsiTheme="minorHAnsi"/>
        </w:rPr>
        <w:t>ci</w:t>
      </w:r>
      <w:r w:rsidRPr="00D502E8">
        <w:rPr>
          <w:rFonts w:asciiTheme="minorHAnsi" w:hAnsiTheme="minorHAnsi"/>
        </w:rPr>
        <w:t xml:space="preserve"> o łącznej powierzchni 1,4733 ha stanowi</w:t>
      </w:r>
      <w:r>
        <w:rPr>
          <w:rFonts w:asciiTheme="minorHAnsi" w:hAnsiTheme="minorHAnsi"/>
        </w:rPr>
        <w:t>ą</w:t>
      </w:r>
      <w:r w:rsidRPr="00D502E8">
        <w:rPr>
          <w:rFonts w:asciiTheme="minorHAnsi" w:hAnsiTheme="minorHAnsi"/>
        </w:rPr>
        <w:t xml:space="preserve"> kompleks działek położony w Policach na terenie ograniczonym  ulicami: Krótką, Jasienicką, Kolejową </w:t>
      </w:r>
      <w:r>
        <w:rPr>
          <w:rFonts w:asciiTheme="minorHAnsi" w:hAnsiTheme="minorHAnsi"/>
        </w:rPr>
        <w:br/>
      </w:r>
      <w:r w:rsidRPr="00D502E8">
        <w:rPr>
          <w:rFonts w:asciiTheme="minorHAnsi" w:hAnsiTheme="minorHAnsi"/>
        </w:rPr>
        <w:t>i Dworcową.  Właścicielem działek: 1121, 1122, 1123, 1125,</w:t>
      </w:r>
      <w:r>
        <w:rPr>
          <w:rFonts w:asciiTheme="minorHAnsi" w:hAnsiTheme="minorHAnsi"/>
        </w:rPr>
        <w:t xml:space="preserve"> </w:t>
      </w:r>
      <w:r w:rsidRPr="00D502E8">
        <w:rPr>
          <w:rFonts w:asciiTheme="minorHAnsi" w:hAnsiTheme="minorHAnsi"/>
        </w:rPr>
        <w:t xml:space="preserve">1127 jest Skarb Państwa, Gmina Police jest ich użytkownikiem wieczystym do 05.12.2089r. Teren jest nieogrodzony, porośnięty trawą, na części </w:t>
      </w:r>
      <w:proofErr w:type="spellStart"/>
      <w:r w:rsidRPr="00D502E8">
        <w:rPr>
          <w:rFonts w:asciiTheme="minorHAnsi" w:hAnsiTheme="minorHAnsi"/>
        </w:rPr>
        <w:t>zakrzaczeniami</w:t>
      </w:r>
      <w:proofErr w:type="spellEnd"/>
      <w:r w:rsidRPr="00D502E8">
        <w:rPr>
          <w:rFonts w:asciiTheme="minorHAnsi" w:hAnsiTheme="minorHAnsi"/>
        </w:rPr>
        <w:t xml:space="preserve"> i zadrzewieniem – samosiejki brzozy, olchy, topoli, zdziczałe drzewa owocowe.  Otoczenie stanowią tereny wykorzystywane na cele różnych działalności związanych z obsługą przemysłu, magazynowe, produkcyjne, transportowe, wolne tereny inwestycyjne, szlak kolejowy Szczecin-Trzebież oraz zabudowa </w:t>
      </w:r>
      <w:r>
        <w:rPr>
          <w:rFonts w:asciiTheme="minorHAnsi" w:hAnsiTheme="minorHAnsi"/>
        </w:rPr>
        <w:br/>
      </w:r>
      <w:r w:rsidRPr="00D502E8">
        <w:rPr>
          <w:rFonts w:asciiTheme="minorHAnsi" w:hAnsiTheme="minorHAnsi"/>
        </w:rPr>
        <w:t>i urządzenia Zakładów Chemicznych Police. W odległości ok. 2 km znajduje się Port Barkowy oraz Port Morski. Teren posiada dostęp do drogi wojewódzkiej  nr 114.</w:t>
      </w:r>
    </w:p>
    <w:p w:rsidR="00986981" w:rsidRDefault="00986981" w:rsidP="00986981">
      <w:pPr>
        <w:jc w:val="both"/>
        <w:rPr>
          <w:rFonts w:asciiTheme="minorHAnsi" w:hAnsiTheme="minorHAnsi"/>
          <w:sz w:val="20"/>
          <w:szCs w:val="20"/>
        </w:rPr>
      </w:pPr>
      <w:r>
        <w:rPr>
          <w:rFonts w:asciiTheme="minorHAnsi" w:hAnsiTheme="minorHAnsi"/>
          <w:b/>
        </w:rPr>
        <w:t>Przeznaczenie w miejscowym planie zagospodarowania przestrzennego:</w:t>
      </w:r>
      <w:r>
        <w:rPr>
          <w:rFonts w:asciiTheme="minorHAnsi" w:hAnsiTheme="minorHAnsi"/>
        </w:rPr>
        <w:t xml:space="preserve"> </w:t>
      </w:r>
      <w:r w:rsidRPr="00D502E8">
        <w:rPr>
          <w:rFonts w:asciiTheme="minorHAnsi" w:hAnsiTheme="minorHAnsi"/>
        </w:rPr>
        <w:t>zgodnie z Uchwałą Nr XLVI/361/06 Rady Miejskiej w Policach z dnia 4 lipca 2006 roku (</w:t>
      </w:r>
      <w:proofErr w:type="spellStart"/>
      <w:r w:rsidRPr="00D502E8">
        <w:rPr>
          <w:rFonts w:asciiTheme="minorHAnsi" w:hAnsiTheme="minorHAnsi"/>
        </w:rPr>
        <w:t>Dz.Urzęd</w:t>
      </w:r>
      <w:proofErr w:type="spellEnd"/>
      <w:r w:rsidRPr="00D502E8">
        <w:rPr>
          <w:rFonts w:asciiTheme="minorHAnsi" w:hAnsiTheme="minorHAnsi"/>
        </w:rPr>
        <w:t xml:space="preserve">. </w:t>
      </w:r>
      <w:proofErr w:type="spellStart"/>
      <w:r w:rsidRPr="00D502E8">
        <w:rPr>
          <w:rFonts w:asciiTheme="minorHAnsi" w:hAnsiTheme="minorHAnsi"/>
        </w:rPr>
        <w:t>Woj.Zachodniopomorskiego</w:t>
      </w:r>
      <w:proofErr w:type="spellEnd"/>
      <w:r w:rsidRPr="00D502E8">
        <w:rPr>
          <w:rFonts w:asciiTheme="minorHAnsi" w:hAnsiTheme="minorHAnsi"/>
        </w:rPr>
        <w:t xml:space="preserve"> z dnia 12 marca 2007 roku Nr 30 poz.449) działki  znajdują się  na terenach elementarnych oznaczonych w planie symbolami 9 ZCH 18PU (tereny obiektów produkcyjno-usługowy</w:t>
      </w:r>
      <w:r>
        <w:rPr>
          <w:rFonts w:asciiTheme="minorHAnsi" w:hAnsiTheme="minorHAnsi"/>
        </w:rPr>
        <w:t>ch), 9-</w:t>
      </w:r>
      <w:r w:rsidRPr="00D502E8">
        <w:rPr>
          <w:rFonts w:asciiTheme="minorHAnsi" w:hAnsiTheme="minorHAnsi"/>
        </w:rPr>
        <w:t xml:space="preserve"> 13 KDW  (droga wewnętrzna).</w:t>
      </w:r>
    </w:p>
    <w:p w:rsidR="00986981" w:rsidRDefault="00986981" w:rsidP="00986981">
      <w:pPr>
        <w:jc w:val="both"/>
        <w:rPr>
          <w:rFonts w:asciiTheme="minorHAnsi" w:hAnsiTheme="minorHAnsi" w:cs="Arial"/>
        </w:rPr>
      </w:pPr>
      <w:r w:rsidRPr="00D502E8">
        <w:rPr>
          <w:rFonts w:asciiTheme="minorHAnsi" w:hAnsiTheme="minorHAnsi"/>
        </w:rPr>
        <w:t xml:space="preserve">Nabywca prawa użytkowania wieczystego działek: 1121, 1122, 1123, 1125, 1127 będzie </w:t>
      </w:r>
      <w:r w:rsidRPr="00D502E8">
        <w:rPr>
          <w:rFonts w:asciiTheme="minorHAnsi" w:hAnsiTheme="minorHAnsi" w:cs="Arial"/>
        </w:rPr>
        <w:t>wnosić  przez cały okres użytkowania wieczystego,  w terminie do 31 marca każdego roku, opłaty roczne z tytułu użytkowania wieczystego. Stawka procentowa opłaty rocznej wynosi 3% wartości nieruchomości. Wysokość opłaty z tytułu użytkowania wieczystego podlega aktualizacji nie częściej niż raz na trzy lata, jeżeli wartość nieruchomości ulegnie zmianie.  Wysokość opłaty za rok 2018  została ustalona na podstawie operatu szacunkowego z dnia 19.12.2014r. określającego wartość   działki nr 1121 w wysokości 21,51 zł/m</w:t>
      </w:r>
      <w:r w:rsidRPr="00D502E8">
        <w:rPr>
          <w:rFonts w:asciiTheme="minorHAnsi" w:hAnsiTheme="minorHAnsi" w:cs="Arial"/>
          <w:vertAlign w:val="superscript"/>
        </w:rPr>
        <w:t>2</w:t>
      </w:r>
      <w:r w:rsidRPr="00D502E8">
        <w:rPr>
          <w:rFonts w:asciiTheme="minorHAnsi" w:hAnsiTheme="minorHAnsi" w:cs="Arial"/>
        </w:rPr>
        <w:t>, działki nr 1122 w wysokości 19,82 zł/m</w:t>
      </w:r>
      <w:r w:rsidRPr="00D502E8">
        <w:rPr>
          <w:rFonts w:asciiTheme="minorHAnsi" w:hAnsiTheme="minorHAnsi" w:cs="Arial"/>
          <w:vertAlign w:val="superscript"/>
        </w:rPr>
        <w:t>2</w:t>
      </w:r>
      <w:r w:rsidRPr="00D502E8">
        <w:rPr>
          <w:rFonts w:asciiTheme="minorHAnsi" w:hAnsiTheme="minorHAnsi" w:cs="Arial"/>
        </w:rPr>
        <w:t>, działek: 1123, 1125,1127 w wysokości 16,87/m</w:t>
      </w:r>
      <w:r w:rsidRPr="00D502E8">
        <w:rPr>
          <w:rFonts w:asciiTheme="minorHAnsi" w:hAnsiTheme="minorHAnsi" w:cs="Arial"/>
          <w:vertAlign w:val="superscript"/>
        </w:rPr>
        <w:t>2</w:t>
      </w:r>
      <w:r w:rsidRPr="00D502E8">
        <w:rPr>
          <w:rFonts w:asciiTheme="minorHAnsi" w:hAnsiTheme="minorHAnsi" w:cs="Arial"/>
        </w:rPr>
        <w:t xml:space="preserve"> zł.</w:t>
      </w:r>
    </w:p>
    <w:p w:rsidR="00986981" w:rsidRPr="00D502E8" w:rsidRDefault="00986981" w:rsidP="00986981">
      <w:pPr>
        <w:jc w:val="both"/>
        <w:rPr>
          <w:rFonts w:asciiTheme="minorHAnsi" w:hAnsiTheme="minorHAnsi" w:cs="Arial"/>
        </w:rPr>
      </w:pPr>
    </w:p>
    <w:p w:rsidR="00986981" w:rsidRPr="00D502E8" w:rsidRDefault="00986981" w:rsidP="00986981">
      <w:pPr>
        <w:pStyle w:val="Tekstpodstawowy"/>
        <w:tabs>
          <w:tab w:val="left" w:pos="615"/>
        </w:tabs>
        <w:textAlignment w:val="baseline"/>
        <w:rPr>
          <w:rFonts w:asciiTheme="minorHAnsi" w:hAnsiTheme="minorHAnsi"/>
          <w:szCs w:val="24"/>
        </w:rPr>
      </w:pPr>
      <w:r w:rsidRPr="00D502E8">
        <w:rPr>
          <w:rFonts w:asciiTheme="minorHAnsi" w:hAnsiTheme="minorHAnsi"/>
          <w:szCs w:val="24"/>
        </w:rPr>
        <w:t>Cena wywoławcza wynosi brutto 443 400,00 zł, w tym cena prawa użytkowania wieczystego działek: 1121, 1122, 1123, 1125, 1127 wynosi 419 500,00 ,co stanowi 94,6% ceny, cena własności  działek:1120, 1126, 1127 wynosi 23 900,00 zł, co stanowi 5, 4% ceny.</w:t>
      </w:r>
    </w:p>
    <w:p w:rsidR="00986981" w:rsidRDefault="00986981" w:rsidP="00986981">
      <w:pPr>
        <w:pStyle w:val="Tekstpodstawowy"/>
        <w:tabs>
          <w:tab w:val="left" w:pos="615"/>
        </w:tabs>
        <w:textAlignment w:val="baseline"/>
        <w:rPr>
          <w:rFonts w:asciiTheme="minorHAnsi" w:hAnsiTheme="minorHAnsi" w:cs="Arial"/>
          <w:szCs w:val="24"/>
        </w:rPr>
      </w:pPr>
    </w:p>
    <w:p w:rsidR="00986981" w:rsidRDefault="00986981" w:rsidP="00986981">
      <w:pPr>
        <w:pStyle w:val="Tekstpodstawowy"/>
        <w:rPr>
          <w:rFonts w:asciiTheme="minorHAnsi" w:hAnsiTheme="minorHAnsi" w:cs="Arial"/>
          <w:b/>
        </w:rPr>
      </w:pPr>
      <w:r>
        <w:rPr>
          <w:rFonts w:asciiTheme="minorHAnsi" w:hAnsiTheme="minorHAnsi" w:cs="Arial"/>
          <w:b/>
        </w:rPr>
        <w:t xml:space="preserve">Przetarg odbędzie się w dniu 14 grudnia  2018r. o godzinie 9 </w:t>
      </w:r>
      <w:r>
        <w:rPr>
          <w:rFonts w:asciiTheme="minorHAnsi" w:hAnsiTheme="minorHAnsi" w:cs="Arial"/>
          <w:b/>
          <w:vertAlign w:val="superscript"/>
        </w:rPr>
        <w:t xml:space="preserve">00 </w:t>
      </w:r>
      <w:r>
        <w:rPr>
          <w:rFonts w:asciiTheme="minorHAnsi" w:hAnsiTheme="minorHAnsi" w:cs="Arial"/>
          <w:b/>
        </w:rPr>
        <w:t xml:space="preserve"> w siedzibie Urzędu Miejskiego w Policach, ul. Stefana Batorego 3  (II piętro, sala konferencyjna).</w:t>
      </w:r>
    </w:p>
    <w:p w:rsidR="00986981" w:rsidRDefault="00986981" w:rsidP="00986981">
      <w:pPr>
        <w:jc w:val="both"/>
        <w:rPr>
          <w:rFonts w:asciiTheme="minorHAnsi" w:hAnsiTheme="minorHAnsi"/>
          <w:b/>
        </w:rPr>
      </w:pPr>
    </w:p>
    <w:p w:rsidR="00986981" w:rsidRDefault="00986981" w:rsidP="00986981">
      <w:pPr>
        <w:jc w:val="both"/>
        <w:rPr>
          <w:rFonts w:asciiTheme="minorHAnsi" w:hAnsiTheme="minorHAnsi" w:cs="Arial"/>
        </w:rPr>
      </w:pPr>
      <w:r>
        <w:rPr>
          <w:rFonts w:asciiTheme="minorHAnsi" w:hAnsiTheme="minorHAnsi" w:cs="Arial"/>
        </w:rPr>
        <w:t xml:space="preserve">Do przetargu mogą przystąpić osoby fizyczne i prawne oraz cudzoziemcy. Cudzoziemcy będący obywatelami lub przedsiębiorcami państw spoza Europejskiego Obszaru </w:t>
      </w:r>
      <w:r>
        <w:rPr>
          <w:rFonts w:asciiTheme="minorHAnsi" w:hAnsiTheme="minorHAnsi" w:cs="Arial"/>
        </w:rPr>
        <w:lastRenderedPageBreak/>
        <w:t>Gospodarczego w dniu zawarcia aktu notarialnego muszą się okazać zgodą Ministra Spraw Wewnętrznych i Administracji na nabycie nieruchomości.</w:t>
      </w:r>
    </w:p>
    <w:p w:rsidR="00986981" w:rsidRDefault="00986981" w:rsidP="00986981">
      <w:pPr>
        <w:jc w:val="both"/>
        <w:rPr>
          <w:rFonts w:asciiTheme="minorHAnsi" w:hAnsiTheme="minorHAnsi" w:cs="Arial"/>
        </w:rPr>
      </w:pPr>
      <w:r>
        <w:rPr>
          <w:rFonts w:asciiTheme="minorHAnsi" w:hAnsiTheme="minorHAnsi" w:cs="Arial"/>
        </w:rPr>
        <w:t xml:space="preserve">W przetargu mogą brać udział osoby, które wpłacą wadium w wysokości i terminie podanym w ogłoszeniu o przetargu. </w:t>
      </w:r>
    </w:p>
    <w:p w:rsidR="00986981" w:rsidRDefault="00986981" w:rsidP="00986981">
      <w:pPr>
        <w:spacing w:after="120"/>
        <w:jc w:val="both"/>
        <w:rPr>
          <w:rFonts w:asciiTheme="minorHAnsi" w:hAnsiTheme="minorHAnsi"/>
          <w:b/>
          <w:bCs/>
        </w:rPr>
      </w:pPr>
      <w:r>
        <w:rPr>
          <w:rFonts w:asciiTheme="minorHAnsi" w:hAnsiTheme="minorHAnsi"/>
          <w:bCs/>
        </w:rPr>
        <w:t>Wadium</w:t>
      </w:r>
      <w:r>
        <w:rPr>
          <w:rFonts w:asciiTheme="minorHAnsi" w:hAnsiTheme="minorHAnsi"/>
          <w:b/>
        </w:rPr>
        <w:t xml:space="preserve"> </w:t>
      </w:r>
      <w:r>
        <w:rPr>
          <w:rFonts w:asciiTheme="minorHAnsi" w:hAnsiTheme="minorHAnsi"/>
        </w:rPr>
        <w:t xml:space="preserve"> w pieniądzu należy wpłacić przelewem na rachunek Gminy Police prowadzony  </w:t>
      </w:r>
      <w:r>
        <w:rPr>
          <w:rFonts w:asciiTheme="minorHAnsi" w:hAnsiTheme="minorHAnsi"/>
        </w:rPr>
        <w:br/>
        <w:t xml:space="preserve">w II Oddziale Banku Pekao SA, nr rachunku: 15 1240 3927 1111 0010 6013 0076, </w:t>
      </w:r>
      <w:r>
        <w:rPr>
          <w:rFonts w:asciiTheme="minorHAnsi" w:hAnsiTheme="minorHAnsi"/>
          <w:b/>
        </w:rPr>
        <w:t>najpóźniej do dnia 10 grudnia 2018r. Za datę wniesienia wadium uważa się</w:t>
      </w:r>
      <w:r>
        <w:rPr>
          <w:rFonts w:asciiTheme="minorHAnsi" w:hAnsiTheme="minorHAnsi"/>
        </w:rPr>
        <w:t xml:space="preserve"> </w:t>
      </w:r>
      <w:r>
        <w:rPr>
          <w:rFonts w:asciiTheme="minorHAnsi" w:hAnsiTheme="minorHAnsi"/>
          <w:b/>
          <w:bCs/>
        </w:rPr>
        <w:t>datę wpływu środków pieniężnych na rachunek Gminy Police. Przy dokonaniu wpłaty wadium należy podać  oznaczenie nieruchomości, której dotyczy wpłacane wadium oraz dane uczestnika przetargu.</w:t>
      </w:r>
    </w:p>
    <w:p w:rsidR="00986981" w:rsidRDefault="00986981" w:rsidP="00986981">
      <w:pPr>
        <w:jc w:val="both"/>
        <w:rPr>
          <w:rFonts w:asciiTheme="minorHAnsi" w:hAnsiTheme="minorHAnsi"/>
        </w:rPr>
      </w:pPr>
      <w:r>
        <w:rPr>
          <w:rFonts w:asciiTheme="minorHAnsi" w:hAnsiTheme="minorHAnsi"/>
        </w:rPr>
        <w:t xml:space="preserve">W przypadku uchylenia się uczestnika, który wygrał przetarg od zawarcia umowy sprzedaży, wpłacone wadium ulega przepadkowi. </w:t>
      </w:r>
    </w:p>
    <w:p w:rsidR="00986981" w:rsidRDefault="00986981" w:rsidP="00986981">
      <w:pPr>
        <w:jc w:val="both"/>
        <w:rPr>
          <w:rFonts w:asciiTheme="minorHAnsi" w:hAnsiTheme="minorHAnsi"/>
        </w:rPr>
      </w:pPr>
    </w:p>
    <w:p w:rsidR="00986981" w:rsidRDefault="00986981" w:rsidP="00986981">
      <w:pPr>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w:t>
      </w:r>
    </w:p>
    <w:p w:rsidR="00986981" w:rsidRDefault="00986981" w:rsidP="00986981">
      <w:pPr>
        <w:jc w:val="both"/>
        <w:rPr>
          <w:rFonts w:asciiTheme="minorHAnsi" w:hAnsiTheme="minorHAnsi" w:cs="Arial"/>
        </w:rPr>
      </w:pPr>
      <w:r>
        <w:rPr>
          <w:rFonts w:asciiTheme="minorHAnsi" w:hAnsiTheme="minorHAnsi" w:cs="Arial"/>
        </w:rPr>
        <w:t>Minimalna wysokość postąpienia wynosi 5000,00 zł.</w:t>
      </w:r>
    </w:p>
    <w:p w:rsidR="00986981" w:rsidRDefault="00986981" w:rsidP="00986981">
      <w:pPr>
        <w:jc w:val="both"/>
        <w:rPr>
          <w:rFonts w:asciiTheme="minorHAnsi" w:hAnsiTheme="minorHAnsi"/>
          <w:b/>
        </w:rPr>
      </w:pPr>
    </w:p>
    <w:p w:rsidR="00986981" w:rsidRDefault="00986981" w:rsidP="00986981">
      <w:pPr>
        <w:jc w:val="both"/>
        <w:rPr>
          <w:rFonts w:asciiTheme="minorHAnsi" w:hAnsiTheme="minorHAnsi" w:cs="Arial"/>
        </w:rPr>
      </w:pPr>
      <w:r>
        <w:rPr>
          <w:rFonts w:asciiTheme="minorHAnsi" w:hAnsiTheme="minorHAnsi" w:cs="Arial"/>
        </w:rPr>
        <w:t>Warunkiem wzięcia udziału w przetargu jest  przedłożenie Komisji Przetargowej:</w:t>
      </w:r>
    </w:p>
    <w:p w:rsidR="00986981" w:rsidRDefault="00986981" w:rsidP="00986981">
      <w:pPr>
        <w:numPr>
          <w:ilvl w:val="0"/>
          <w:numId w:val="1"/>
        </w:numPr>
        <w:jc w:val="both"/>
        <w:rPr>
          <w:rFonts w:asciiTheme="minorHAnsi" w:hAnsiTheme="minorHAnsi" w:cs="Arial"/>
        </w:rPr>
      </w:pPr>
      <w:r>
        <w:rPr>
          <w:rFonts w:asciiTheme="minorHAnsi" w:hAnsiTheme="minorHAnsi" w:cs="Arial"/>
        </w:rPr>
        <w:t xml:space="preserve">W przypadku osób fizycznych - dowodu tożsamości, </w:t>
      </w:r>
    </w:p>
    <w:p w:rsidR="00986981" w:rsidRDefault="00986981" w:rsidP="00986981">
      <w:pPr>
        <w:pStyle w:val="Akapitzlist"/>
        <w:numPr>
          <w:ilvl w:val="0"/>
          <w:numId w:val="1"/>
        </w:numPr>
        <w:jc w:val="both"/>
        <w:rPr>
          <w:rFonts w:asciiTheme="minorHAnsi" w:hAnsiTheme="minorHAnsi" w:cs="Arial"/>
        </w:rPr>
      </w:pPr>
      <w:r>
        <w:rPr>
          <w:rFonts w:asciiTheme="minorHAnsi" w:hAnsiTheme="minorHAnsi" w:cs="Aria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rsidR="00986981" w:rsidRDefault="00986981" w:rsidP="00986981">
      <w:pPr>
        <w:pStyle w:val="Akapitzlist"/>
        <w:numPr>
          <w:ilvl w:val="0"/>
          <w:numId w:val="1"/>
        </w:numPr>
        <w:jc w:val="both"/>
        <w:rPr>
          <w:rFonts w:asciiTheme="minorHAnsi" w:hAnsiTheme="minorHAnsi" w:cs="Arial"/>
        </w:rPr>
      </w:pPr>
      <w:r>
        <w:rPr>
          <w:rFonts w:asciiTheme="minorHAnsi" w:hAnsiTheme="minorHAnsi" w:cs="Arial"/>
        </w:rPr>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ustawy z dnia 20 sierpnia 1997 roku </w:t>
      </w:r>
      <w:r>
        <w:rPr>
          <w:rFonts w:asciiTheme="minorHAnsi" w:hAnsiTheme="minorHAnsi" w:cs="Arial"/>
        </w:rPr>
        <w:br/>
        <w:t>o Krajowym Rejestrze Sądowym</w:t>
      </w:r>
    </w:p>
    <w:p w:rsidR="00986981" w:rsidRDefault="00986981" w:rsidP="00986981">
      <w:pPr>
        <w:jc w:val="both"/>
        <w:rPr>
          <w:rFonts w:asciiTheme="minorHAnsi" w:hAnsiTheme="minorHAnsi" w:cs="Arial"/>
        </w:rPr>
      </w:pPr>
    </w:p>
    <w:p w:rsidR="00986981" w:rsidRDefault="00986981" w:rsidP="00986981">
      <w:pPr>
        <w:jc w:val="both"/>
        <w:rPr>
          <w:rFonts w:asciiTheme="minorHAnsi" w:hAnsiTheme="minorHAnsi" w:cs="Arial"/>
          <w:b/>
          <w:bCs/>
        </w:rPr>
      </w:pPr>
      <w:r>
        <w:rPr>
          <w:rFonts w:asciiTheme="minorHAnsi" w:hAnsiTheme="minorHAnsi" w:cs="Arial"/>
          <w:b/>
        </w:rPr>
        <w:t xml:space="preserve">Osoby uczestniczące w przetargu jako pełnomocnicy są zobowiązane przedłożyć </w:t>
      </w:r>
      <w:r>
        <w:rPr>
          <w:rFonts w:asciiTheme="minorHAnsi" w:hAnsiTheme="minorHAnsi" w:cs="Arial"/>
          <w:b/>
          <w:bCs/>
        </w:rPr>
        <w:t>pełnomocnictwo udzielone w formie aktu notarialnego</w:t>
      </w:r>
      <w:r>
        <w:rPr>
          <w:rFonts w:asciiTheme="minorHAnsi" w:hAnsiTheme="minorHAnsi" w:cs="Arial"/>
          <w:b/>
        </w:rPr>
        <w:t>.</w:t>
      </w:r>
    </w:p>
    <w:p w:rsidR="00986981" w:rsidRDefault="00986981" w:rsidP="00986981">
      <w:pPr>
        <w:jc w:val="both"/>
        <w:rPr>
          <w:rFonts w:asciiTheme="minorHAnsi" w:hAnsiTheme="minorHAnsi" w:cs="Arial"/>
          <w:b/>
        </w:rPr>
      </w:pPr>
      <w:r>
        <w:rPr>
          <w:rFonts w:asciiTheme="minorHAnsi" w:hAnsiTheme="minorHAnsi" w:cs="Arial"/>
          <w:b/>
        </w:rPr>
        <w:t xml:space="preserve">W przypadku, gdy wadium zostanie wniesione przez </w:t>
      </w:r>
      <w:r>
        <w:rPr>
          <w:rFonts w:asciiTheme="minorHAnsi" w:hAnsiTheme="minorHAnsi" w:cs="Arial"/>
          <w:b/>
          <w:u w:val="single"/>
        </w:rPr>
        <w:t>oboje małżonków</w:t>
      </w:r>
      <w:r>
        <w:rPr>
          <w:rFonts w:asciiTheme="minorHAnsi" w:hAnsiTheme="minorHAnsi" w:cs="Arial"/>
          <w:b/>
        </w:rPr>
        <w:t xml:space="preserve">, </w:t>
      </w:r>
      <w:r>
        <w:rPr>
          <w:rFonts w:asciiTheme="minorHAnsi" w:hAnsiTheme="minorHAnsi" w:cs="Arial"/>
          <w:b/>
        </w:rPr>
        <w:br/>
        <w:t xml:space="preserve">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zobowiązani są oboje uczestniczyć w przetargu. Gdy w tym przypadku  </w:t>
      </w:r>
      <w:r>
        <w:rPr>
          <w:rFonts w:asciiTheme="minorHAnsi" w:hAnsiTheme="minorHAnsi" w:cs="Arial"/>
          <w:b/>
        </w:rPr>
        <w:br/>
        <w:t xml:space="preserve">w przetargu uczestniczyć będzie </w:t>
      </w:r>
      <w:r>
        <w:rPr>
          <w:rFonts w:asciiTheme="minorHAnsi" w:hAnsiTheme="minorHAnsi" w:cs="Arial"/>
          <w:b/>
          <w:u w:val="single"/>
        </w:rPr>
        <w:t>jeden</w:t>
      </w:r>
      <w:r>
        <w:rPr>
          <w:rFonts w:asciiTheme="minorHAnsi" w:hAnsiTheme="minorHAnsi" w:cs="Arial"/>
          <w:b/>
        </w:rPr>
        <w:t xml:space="preserve"> z małżonków, zobowiązany jest on do przedłożenia </w:t>
      </w:r>
      <w:r>
        <w:rPr>
          <w:rFonts w:asciiTheme="minorHAnsi" w:hAnsiTheme="minorHAnsi" w:cs="Arial"/>
          <w:b/>
          <w:bCs/>
          <w:u w:val="single"/>
        </w:rPr>
        <w:t xml:space="preserve">pełnomocnictwa </w:t>
      </w:r>
      <w:r>
        <w:rPr>
          <w:rFonts w:asciiTheme="minorHAnsi" w:hAnsiTheme="minorHAnsi" w:cs="Arial"/>
          <w:b/>
          <w:u w:val="single"/>
        </w:rPr>
        <w:t>współmałżonka</w:t>
      </w:r>
      <w:r>
        <w:rPr>
          <w:rFonts w:asciiTheme="minorHAnsi" w:hAnsiTheme="minorHAnsi" w:cs="Arial"/>
          <w:b/>
        </w:rPr>
        <w:t xml:space="preserve"> do udziału w przetargu i zawarcia umowy sprzedaży nieruchomości w jego imieniu. </w:t>
      </w:r>
      <w:r>
        <w:rPr>
          <w:rFonts w:asciiTheme="minorHAnsi" w:hAnsiTheme="minorHAnsi" w:cs="Arial"/>
          <w:b/>
          <w:bCs/>
        </w:rPr>
        <w:t>Pełnomocnictwo</w:t>
      </w:r>
      <w:r>
        <w:rPr>
          <w:rFonts w:asciiTheme="minorHAnsi" w:hAnsiTheme="minorHAnsi" w:cs="Arial"/>
          <w:b/>
        </w:rPr>
        <w:t xml:space="preserve"> musi być udzielone, pod rygorem nieważności,  </w:t>
      </w:r>
      <w:r>
        <w:rPr>
          <w:rFonts w:asciiTheme="minorHAnsi" w:hAnsiTheme="minorHAnsi" w:cs="Arial"/>
          <w:b/>
          <w:u w:val="single"/>
        </w:rPr>
        <w:t>w formie aktu notarialnego</w:t>
      </w:r>
      <w:r>
        <w:rPr>
          <w:rFonts w:asciiTheme="minorHAnsi" w:hAnsiTheme="minorHAnsi" w:cs="Arial"/>
          <w:b/>
        </w:rPr>
        <w:t>.</w:t>
      </w:r>
    </w:p>
    <w:p w:rsidR="00986981" w:rsidRDefault="00986981" w:rsidP="00986981">
      <w:pPr>
        <w:jc w:val="both"/>
        <w:rPr>
          <w:rFonts w:asciiTheme="minorHAnsi" w:hAnsiTheme="minorHAnsi" w:cs="Arial"/>
          <w:b/>
        </w:rPr>
      </w:pPr>
    </w:p>
    <w:p w:rsidR="00986981" w:rsidRDefault="00986981" w:rsidP="00986981">
      <w:pPr>
        <w:jc w:val="both"/>
        <w:rPr>
          <w:rFonts w:asciiTheme="minorHAnsi" w:hAnsiTheme="minorHAnsi" w:cs="Arial"/>
          <w:b/>
        </w:rPr>
      </w:pPr>
      <w:r>
        <w:rPr>
          <w:rFonts w:asciiTheme="minorHAnsi" w:hAnsiTheme="minorHAnsi" w:cs="Arial"/>
          <w:b/>
        </w:rPr>
        <w:t xml:space="preserve">W przypadku wniesienia wadium tylko </w:t>
      </w:r>
      <w:r>
        <w:rPr>
          <w:rFonts w:asciiTheme="minorHAnsi" w:hAnsiTheme="minorHAnsi" w:cs="Arial"/>
          <w:b/>
          <w:u w:val="single"/>
        </w:rPr>
        <w:t>przez jednego z małżonków</w:t>
      </w:r>
      <w:r>
        <w:rPr>
          <w:rFonts w:asciiTheme="minorHAnsi" w:hAnsiTheme="minorHAnsi" w:cs="Arial"/>
          <w:b/>
        </w:rPr>
        <w:t xml:space="preserve">, 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małżonek uczestniczący w przetargu zobowiązany jest do przedłożenia </w:t>
      </w:r>
      <w:r>
        <w:rPr>
          <w:rFonts w:asciiTheme="minorHAnsi" w:hAnsiTheme="minorHAnsi" w:cs="Arial"/>
          <w:b/>
          <w:bCs/>
          <w:u w:val="single"/>
        </w:rPr>
        <w:t>oświadczenia</w:t>
      </w:r>
      <w:r>
        <w:rPr>
          <w:rFonts w:asciiTheme="minorHAnsi" w:hAnsiTheme="minorHAnsi" w:cs="Arial"/>
          <w:b/>
          <w:u w:val="single"/>
        </w:rPr>
        <w:t xml:space="preserve"> współmałżonka</w:t>
      </w:r>
      <w:r>
        <w:rPr>
          <w:rFonts w:asciiTheme="minorHAnsi" w:hAnsiTheme="minorHAnsi" w:cs="Arial"/>
          <w:b/>
        </w:rPr>
        <w:t xml:space="preserve"> o wyrażeniu zgody na nabycie nieruchomości  objętej przetargiem. Zgoda ta musi być wyrażona, pod rygorem nieważności, </w:t>
      </w:r>
      <w:r>
        <w:rPr>
          <w:rFonts w:asciiTheme="minorHAnsi" w:hAnsiTheme="minorHAnsi" w:cs="Arial"/>
          <w:b/>
          <w:u w:val="single"/>
        </w:rPr>
        <w:t>w formie aktu notarialnego</w:t>
      </w:r>
      <w:r>
        <w:rPr>
          <w:rFonts w:asciiTheme="minorHAnsi" w:hAnsiTheme="minorHAnsi" w:cs="Arial"/>
          <w:b/>
        </w:rPr>
        <w:t>.</w:t>
      </w:r>
    </w:p>
    <w:p w:rsidR="00986981" w:rsidRDefault="00986981" w:rsidP="00986981">
      <w:pPr>
        <w:jc w:val="both"/>
        <w:rPr>
          <w:rFonts w:asciiTheme="minorHAnsi" w:hAnsiTheme="minorHAnsi" w:cs="Arial"/>
          <w:b/>
        </w:rPr>
      </w:pPr>
    </w:p>
    <w:p w:rsidR="00986981" w:rsidRDefault="00986981" w:rsidP="00986981">
      <w:pPr>
        <w:jc w:val="both"/>
        <w:rPr>
          <w:rFonts w:asciiTheme="minorHAnsi" w:hAnsiTheme="minorHAnsi" w:cs="Arial"/>
          <w:b/>
        </w:rPr>
      </w:pPr>
      <w:r>
        <w:rPr>
          <w:rFonts w:asciiTheme="minorHAnsi" w:hAnsiTheme="minorHAnsi" w:cs="Arial"/>
          <w:b/>
        </w:rPr>
        <w:lastRenderedPageBreak/>
        <w:t xml:space="preserve">W przypadku, gdy jeden z małżonków zamierza przystąpić do przetargu </w:t>
      </w:r>
      <w:r>
        <w:rPr>
          <w:rFonts w:asciiTheme="minorHAnsi" w:hAnsiTheme="minorHAns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rsidR="00986981" w:rsidRDefault="00986981" w:rsidP="00986981">
      <w:pPr>
        <w:jc w:val="both"/>
        <w:rPr>
          <w:rFonts w:asciiTheme="minorHAnsi" w:hAnsiTheme="minorHAnsi" w:cs="Arial"/>
          <w:b/>
        </w:rPr>
      </w:pPr>
    </w:p>
    <w:p w:rsidR="00986981" w:rsidRDefault="00986981" w:rsidP="00986981">
      <w:pPr>
        <w:jc w:val="both"/>
        <w:rPr>
          <w:rFonts w:asciiTheme="minorHAnsi" w:hAnsiTheme="minorHAnsi" w:cs="Arial"/>
          <w:b/>
        </w:rPr>
      </w:pPr>
      <w:r>
        <w:rPr>
          <w:rFonts w:asciiTheme="minorHAnsi" w:hAnsiTheme="minorHAnsi" w:cs="Arial"/>
          <w:b/>
        </w:rPr>
        <w:t>Niedopełnienie powyższych warunków udziału w postępowaniu skutkować będzie odmową dopuszczenia do uczestnictwa w przetargu.</w:t>
      </w:r>
    </w:p>
    <w:p w:rsidR="00986981" w:rsidRDefault="00986981" w:rsidP="00986981">
      <w:pPr>
        <w:jc w:val="both"/>
        <w:rPr>
          <w:rFonts w:asciiTheme="minorHAnsi" w:hAnsiTheme="minorHAnsi"/>
        </w:rPr>
      </w:pPr>
    </w:p>
    <w:p w:rsidR="00986981" w:rsidRDefault="00986981" w:rsidP="00986981">
      <w:pPr>
        <w:jc w:val="both"/>
        <w:rPr>
          <w:rFonts w:asciiTheme="minorHAnsi" w:hAnsiTheme="minorHAnsi"/>
        </w:rPr>
      </w:pPr>
      <w:r>
        <w:rPr>
          <w:rFonts w:asciiTheme="minorHAnsi" w:hAnsiTheme="minorHAnsi"/>
        </w:rPr>
        <w:t>Dodatkowe informacje:</w:t>
      </w:r>
    </w:p>
    <w:p w:rsidR="00986981" w:rsidRDefault="00986981" w:rsidP="00986981">
      <w:pPr>
        <w:numPr>
          <w:ilvl w:val="0"/>
          <w:numId w:val="2"/>
        </w:numPr>
        <w:jc w:val="both"/>
        <w:rPr>
          <w:rFonts w:asciiTheme="minorHAnsi" w:hAnsiTheme="minorHAnsi" w:cs="Arial"/>
        </w:rPr>
      </w:pPr>
      <w:r>
        <w:rPr>
          <w:rFonts w:asciiTheme="minorHAnsi" w:hAnsiTheme="minorHAnsi" w:cs="Arial"/>
        </w:rPr>
        <w:t>O warunki techniczne przyłączenia poszczególnych mediów Nabywca zobowiązany jest wystąpić do odpowiednich dostawców we własnym zakresie.</w:t>
      </w:r>
    </w:p>
    <w:p w:rsidR="00986981" w:rsidRDefault="00986981" w:rsidP="00986981">
      <w:pPr>
        <w:numPr>
          <w:ilvl w:val="0"/>
          <w:numId w:val="2"/>
        </w:numPr>
        <w:jc w:val="both"/>
        <w:rPr>
          <w:rFonts w:asciiTheme="minorHAnsi" w:hAnsiTheme="minorHAnsi" w:cs="Arial"/>
        </w:rPr>
      </w:pPr>
      <w:r>
        <w:rPr>
          <w:rFonts w:asciiTheme="minorHAnsi" w:hAnsiTheme="minorHAnsi" w:cs="Aria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rsidR="00986981" w:rsidRDefault="00986981" w:rsidP="00986981">
      <w:pPr>
        <w:numPr>
          <w:ilvl w:val="0"/>
          <w:numId w:val="2"/>
        </w:numPr>
        <w:jc w:val="both"/>
        <w:rPr>
          <w:rFonts w:asciiTheme="minorHAnsi" w:hAnsiTheme="minorHAnsi" w:cs="Arial"/>
        </w:rPr>
      </w:pPr>
      <w:r>
        <w:rPr>
          <w:rFonts w:asciiTheme="minorHAnsi" w:hAnsiTheme="minorHAnsi"/>
        </w:rPr>
        <w:t>Nabywca przejmuje wraz z gruntem obowiązek usunięcia z terenu ewentualnych bezumownych użytkowników</w:t>
      </w:r>
      <w:r>
        <w:rPr>
          <w:rFonts w:asciiTheme="minorHAnsi" w:hAnsiTheme="minorHAnsi" w:cs="Arial"/>
        </w:rPr>
        <w:t>.</w:t>
      </w:r>
    </w:p>
    <w:p w:rsidR="00986981" w:rsidRDefault="00986981" w:rsidP="00986981">
      <w:pPr>
        <w:pStyle w:val="Tekstpodstawowy"/>
        <w:numPr>
          <w:ilvl w:val="0"/>
          <w:numId w:val="2"/>
        </w:numPr>
        <w:tabs>
          <w:tab w:val="left" w:pos="615"/>
        </w:tabs>
        <w:textAlignment w:val="baseline"/>
        <w:rPr>
          <w:rFonts w:asciiTheme="minorHAnsi" w:hAnsiTheme="minorHAnsi" w:cs="Arial"/>
          <w:szCs w:val="24"/>
        </w:rPr>
      </w:pPr>
      <w:r>
        <w:rPr>
          <w:rFonts w:asciiTheme="minorHAnsi" w:hAnsiTheme="minorHAnsi"/>
          <w:szCs w:val="24"/>
        </w:rPr>
        <w:t>Osiągnięta w przetargu cena podlega zapłacie  przed zawarciem umowy sprzedaży. Brak  możliwości rozłożenia ceny  na raty.</w:t>
      </w:r>
    </w:p>
    <w:p w:rsidR="00986981" w:rsidRDefault="00986981" w:rsidP="00986981">
      <w:pPr>
        <w:numPr>
          <w:ilvl w:val="0"/>
          <w:numId w:val="2"/>
        </w:numPr>
        <w:jc w:val="both"/>
        <w:rPr>
          <w:rFonts w:asciiTheme="minorHAnsi" w:hAnsiTheme="minorHAnsi"/>
        </w:rPr>
      </w:pPr>
      <w:r>
        <w:rPr>
          <w:rFonts w:asciiTheme="minorHAnsi" w:hAnsiTheme="minorHAnsi"/>
        </w:rPr>
        <w:t>Koszty notarialne w całości ponosi nabywca nieruchomości.</w:t>
      </w:r>
    </w:p>
    <w:p w:rsidR="00986981" w:rsidRDefault="00986981" w:rsidP="00986981">
      <w:pPr>
        <w:numPr>
          <w:ilvl w:val="0"/>
          <w:numId w:val="2"/>
        </w:numPr>
        <w:jc w:val="both"/>
        <w:rPr>
          <w:rFonts w:asciiTheme="minorHAnsi" w:hAnsiTheme="minorHAnsi"/>
        </w:rPr>
      </w:pPr>
      <w:r>
        <w:rPr>
          <w:rFonts w:asciiTheme="minorHAnsi" w:hAnsiTheme="minorHAnsi" w:cs="Arial"/>
        </w:rPr>
        <w:t>Nieruchomość sprzedawana jest na podstawie danych z ewidencji gruntów i budynków. Nabywca na własny koszt zleca uprawnionym podmiotom  odtworzenie granic nieruchomości</w:t>
      </w:r>
      <w:r>
        <w:rPr>
          <w:rFonts w:asciiTheme="minorHAnsi" w:hAnsiTheme="minorHAnsi"/>
        </w:rPr>
        <w:t xml:space="preserve">. Gmina nie ponosi odpowiedzialności za ewentualne różnice powstałe </w:t>
      </w:r>
      <w:r>
        <w:rPr>
          <w:rFonts w:asciiTheme="minorHAnsi" w:hAnsiTheme="minorHAnsi"/>
        </w:rPr>
        <w:br/>
        <w:t>w wyniku wznowienia granic nabytej nieruchomości.</w:t>
      </w:r>
    </w:p>
    <w:p w:rsidR="00986981" w:rsidRDefault="00986981" w:rsidP="00986981">
      <w:pPr>
        <w:numPr>
          <w:ilvl w:val="0"/>
          <w:numId w:val="2"/>
        </w:numPr>
        <w:jc w:val="both"/>
        <w:rPr>
          <w:rFonts w:asciiTheme="minorHAnsi" w:hAnsiTheme="minorHAnsi"/>
        </w:rPr>
      </w:pPr>
      <w:r>
        <w:rPr>
          <w:rFonts w:asciiTheme="minorHAnsi" w:hAnsiTheme="minorHAnsi"/>
        </w:rPr>
        <w:t>Przed przystąpieniem do przetargu należy zapoznać się z dokumentacją dotyczącą nieruchomości.</w:t>
      </w:r>
    </w:p>
    <w:p w:rsidR="00986981" w:rsidRDefault="00986981" w:rsidP="00986981">
      <w:pPr>
        <w:jc w:val="both"/>
        <w:rPr>
          <w:rFonts w:asciiTheme="minorHAnsi" w:hAnsiTheme="minorHAnsi"/>
        </w:rPr>
      </w:pPr>
    </w:p>
    <w:p w:rsidR="00986981" w:rsidRDefault="00986981" w:rsidP="00986981">
      <w:pPr>
        <w:jc w:val="both"/>
        <w:rPr>
          <w:rFonts w:asciiTheme="minorHAnsi" w:hAnsiTheme="minorHAnsi"/>
        </w:rPr>
      </w:pPr>
      <w:r>
        <w:rPr>
          <w:rFonts w:asciiTheme="minorHAnsi" w:hAnsiTheme="minorHAnsi"/>
        </w:rPr>
        <w:t>Informacje na temat zbywanych nieruchomości można uzyskać w Wydziale Gospodarki Gruntami Urzędu Miejskiego w Policach przy ul. Bankowej 18,pok. 210,  212 lub telefonicznie pod numerami 91-43-118-90, 91-43-118-68.</w:t>
      </w:r>
    </w:p>
    <w:p w:rsidR="00986981" w:rsidRDefault="00986981" w:rsidP="00986981">
      <w:pPr>
        <w:jc w:val="both"/>
        <w:rPr>
          <w:rFonts w:asciiTheme="minorHAnsi" w:hAnsiTheme="minorHAnsi"/>
        </w:rPr>
      </w:pPr>
    </w:p>
    <w:p w:rsidR="00986981" w:rsidRDefault="00986981" w:rsidP="00986981">
      <w:pPr>
        <w:rPr>
          <w:rFonts w:asciiTheme="minorHAnsi" w:hAnsiTheme="minorHAnsi" w:cs="Arial"/>
        </w:rPr>
      </w:pPr>
      <w:r>
        <w:rPr>
          <w:rFonts w:asciiTheme="minorHAnsi" w:hAnsiTheme="minorHAnsi" w:cs="Arial"/>
        </w:rPr>
        <w:t>Zastrzega się prawo unieważnienia przetargu</w:t>
      </w:r>
    </w:p>
    <w:p w:rsidR="00986981" w:rsidRDefault="00986981" w:rsidP="00986981">
      <w:pPr>
        <w:pStyle w:val="Nagwek1"/>
        <w:jc w:val="left"/>
        <w:rPr>
          <w:rFonts w:asciiTheme="minorHAnsi" w:hAnsiTheme="minorHAnsi"/>
        </w:rPr>
      </w:pPr>
    </w:p>
    <w:p w:rsidR="00986981" w:rsidRDefault="00986981" w:rsidP="00986981">
      <w:pPr>
        <w:jc w:val="both"/>
        <w:rPr>
          <w:rFonts w:asciiTheme="minorHAnsi" w:hAnsiTheme="minorHAnsi" w:cs="Arial"/>
        </w:rPr>
      </w:pPr>
      <w:r>
        <w:rPr>
          <w:rStyle w:val="Uwydatnienie"/>
          <w:rFonts w:asciiTheme="minorHAnsi" w:hAnsiTheme="minorHAnsi" w:cstheme="minorHAnsi"/>
          <w:sz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Pr>
          <w:rStyle w:val="Uwydatnienie"/>
          <w:rFonts w:asciiTheme="minorHAnsi" w:hAnsiTheme="minorHAnsi" w:cstheme="minorHAnsi"/>
          <w:sz w:val="20"/>
        </w:rPr>
        <w:t>późn</w:t>
      </w:r>
      <w:proofErr w:type="spellEnd"/>
      <w:r>
        <w:rPr>
          <w:rStyle w:val="Uwydatnienie"/>
          <w:rFonts w:asciiTheme="minorHAnsi" w:hAnsiTheme="minorHAnsi" w:cstheme="minorHAnsi"/>
          <w:sz w:val="20"/>
        </w:rPr>
        <w:t xml:space="preserve">. zm.) oraz rozporządzenia Rady Ministrów z dnia 14 września 2004 r. w sprawie sposobu i trybu przeprowadzania przetargów oraz rokowań na zbycie nieruchomości (t. j. Dz. U. z 2014 r., poz. 1490). </w:t>
      </w:r>
    </w:p>
    <w:p w:rsidR="00986981" w:rsidRDefault="00986981" w:rsidP="00986981">
      <w:pPr>
        <w:spacing w:after="160" w:line="252" w:lineRule="auto"/>
        <w:jc w:val="both"/>
        <w:rPr>
          <w:rFonts w:asciiTheme="minorHAnsi" w:hAnsiTheme="minorHAnsi" w:cs="Arial"/>
          <w:sz w:val="32"/>
        </w:rPr>
      </w:pPr>
    </w:p>
    <w:p w:rsidR="00986981" w:rsidRDefault="00986981" w:rsidP="00986981"/>
    <w:p w:rsidR="00986981" w:rsidRDefault="00986981" w:rsidP="00986981"/>
    <w:p w:rsidR="00986981" w:rsidRDefault="00986981" w:rsidP="00986981"/>
    <w:p w:rsidR="00986981" w:rsidRDefault="00986981" w:rsidP="00986981">
      <w:pPr>
        <w:pStyle w:val="Nagwek1"/>
        <w:rPr>
          <w:rFonts w:asciiTheme="minorHAnsi" w:hAnsiTheme="minorHAnsi"/>
        </w:rPr>
      </w:pPr>
      <w:r>
        <w:rPr>
          <w:rFonts w:asciiTheme="minorHAnsi" w:hAnsiTheme="minorHAnsi"/>
        </w:rPr>
        <w:lastRenderedPageBreak/>
        <w:t>REGULAMIN</w:t>
      </w:r>
    </w:p>
    <w:p w:rsidR="00986981" w:rsidRPr="006C28EB" w:rsidRDefault="00986981" w:rsidP="00986981">
      <w:pPr>
        <w:jc w:val="both"/>
        <w:rPr>
          <w:rFonts w:asciiTheme="minorHAnsi" w:hAnsiTheme="minorHAnsi" w:cs="Arial"/>
        </w:rPr>
      </w:pPr>
      <w:r>
        <w:rPr>
          <w:rFonts w:asciiTheme="minorHAnsi" w:hAnsiTheme="minorHAnsi"/>
        </w:rPr>
        <w:t xml:space="preserve">pierwszego przetargu ustnego nieograniczonego na </w:t>
      </w:r>
      <w:r>
        <w:rPr>
          <w:rFonts w:asciiTheme="minorHAnsi" w:hAnsiTheme="minorHAnsi" w:cstheme="minorHAnsi"/>
          <w:b/>
        </w:rPr>
        <w:t xml:space="preserve">sprzedaż </w:t>
      </w:r>
      <w:r>
        <w:rPr>
          <w:rFonts w:asciiTheme="minorHAnsi" w:hAnsiTheme="minorHAnsi" w:cs="Arial"/>
          <w:b/>
        </w:rPr>
        <w:t xml:space="preserve">prawa użytkowania wieczystego i prawa własności </w:t>
      </w:r>
      <w:r>
        <w:rPr>
          <w:rFonts w:asciiTheme="minorHAnsi" w:hAnsiTheme="minorHAnsi" w:cs="Arial"/>
        </w:rPr>
        <w:t xml:space="preserve">działek: 1121, 1122, 1123, 1125, 1127, 1120, 1126, 1128 </w:t>
      </w:r>
      <w:r>
        <w:rPr>
          <w:rFonts w:asciiTheme="minorHAnsi" w:hAnsiTheme="minorHAnsi" w:cs="Arial"/>
        </w:rPr>
        <w:br/>
      </w:r>
      <w:r>
        <w:rPr>
          <w:rFonts w:asciiTheme="minorHAnsi" w:hAnsiTheme="minorHAnsi"/>
        </w:rPr>
        <w:t>z obrębu ewidencyjnego 2-Police.</w:t>
      </w:r>
    </w:p>
    <w:p w:rsidR="00986981" w:rsidRDefault="00986981" w:rsidP="00986981">
      <w:pPr>
        <w:jc w:val="both"/>
        <w:rPr>
          <w:rFonts w:asciiTheme="minorHAnsi" w:hAnsiTheme="minorHAnsi" w:cs="Arial"/>
        </w:rPr>
      </w:pPr>
    </w:p>
    <w:p w:rsidR="00986981" w:rsidRDefault="00986981" w:rsidP="00986981">
      <w:pPr>
        <w:pStyle w:val="Akapitzlist"/>
        <w:numPr>
          <w:ilvl w:val="0"/>
          <w:numId w:val="3"/>
        </w:numPr>
        <w:jc w:val="both"/>
        <w:rPr>
          <w:rFonts w:asciiTheme="minorHAnsi" w:hAnsiTheme="minorHAnsi" w:cs="Arial"/>
        </w:rPr>
      </w:pPr>
      <w:r>
        <w:rPr>
          <w:rFonts w:asciiTheme="minorHAnsi" w:hAnsiTheme="minorHAnsi" w:cs="Arial"/>
        </w:rPr>
        <w:t>Wyciąg z ogłoszenia o przetargu ukaże się  w  dzienniku ogólnopolskim Gazeta Wyborcza, ogłoszenie zostanie umieszczone na tablicy ogłoszeń w Urzędzie Miejskim w Policach przy ul. Stefana Batorego 3 i ul. Bankowej 18, na stronach internetowych Gminy Police (</w:t>
      </w:r>
      <w:hyperlink r:id="rId6" w:history="1">
        <w:r>
          <w:rPr>
            <w:rStyle w:val="Hipercze"/>
            <w:rFonts w:asciiTheme="minorHAnsi" w:hAnsiTheme="minorHAnsi"/>
          </w:rPr>
          <w:t>www.police.pl</w:t>
        </w:r>
      </w:hyperlink>
      <w:r>
        <w:rPr>
          <w:rFonts w:asciiTheme="minorHAnsi" w:hAnsiTheme="minorHAnsi"/>
        </w:rPr>
        <w:t xml:space="preserve">), </w:t>
      </w:r>
      <w:r>
        <w:rPr>
          <w:rFonts w:asciiTheme="minorHAnsi" w:hAnsiTheme="minorHAnsi" w:cs="Arial"/>
        </w:rPr>
        <w:t xml:space="preserve">Biuletynie Informacji Publiczne Gminy Police. </w:t>
      </w:r>
    </w:p>
    <w:p w:rsidR="00986981" w:rsidRDefault="00986981" w:rsidP="00986981">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986981" w:rsidRDefault="00986981" w:rsidP="00986981">
      <w:pPr>
        <w:numPr>
          <w:ilvl w:val="0"/>
          <w:numId w:val="3"/>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na rachunek  Gminy Police </w:t>
      </w:r>
      <w:r>
        <w:rPr>
          <w:rFonts w:asciiTheme="minorHAnsi" w:hAnsiTheme="minorHAnsi"/>
        </w:rPr>
        <w:t xml:space="preserve">prowadzony </w:t>
      </w:r>
      <w:r>
        <w:rPr>
          <w:rFonts w:asciiTheme="minorHAnsi" w:hAnsiTheme="minorHAnsi"/>
        </w:rPr>
        <w:br/>
        <w:t>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10 grudnia 2018 r. </w:t>
      </w:r>
      <w:r>
        <w:rPr>
          <w:rFonts w:asciiTheme="minorHAnsi" w:hAnsiTheme="minorHAnsi"/>
          <w:b/>
          <w:bCs/>
        </w:rPr>
        <w:t xml:space="preserve">Za datę wniesienia wadium uważa się datę wpływu środków pieniężnych na rachunek Gminy Police. Przy dokonaniu wpłaty wadium należy podać  oznaczenie nieruchomości, której dotyczy wpłacane wadium oraz dane </w:t>
      </w:r>
      <w:r>
        <w:rPr>
          <w:rFonts w:asciiTheme="minorHAnsi" w:hAnsiTheme="minorHAnsi"/>
          <w:b/>
        </w:rPr>
        <w:t>uczestnika przetargu.</w:t>
      </w:r>
    </w:p>
    <w:p w:rsidR="00986981" w:rsidRDefault="00986981" w:rsidP="00986981">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986981" w:rsidRDefault="00986981" w:rsidP="00986981">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986981" w:rsidRDefault="00986981" w:rsidP="00986981">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rsidR="00986981" w:rsidRDefault="00986981" w:rsidP="00986981">
      <w:pPr>
        <w:numPr>
          <w:ilvl w:val="0"/>
          <w:numId w:val="3"/>
        </w:numPr>
        <w:spacing w:after="120"/>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Minimalna wysokość postąpienia wynosi 5000,00 zł.</w:t>
      </w:r>
    </w:p>
    <w:p w:rsidR="00986981" w:rsidRDefault="00986981" w:rsidP="00986981">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986981" w:rsidRDefault="00986981" w:rsidP="00986981">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986981" w:rsidRDefault="00986981" w:rsidP="00986981">
      <w:pPr>
        <w:numPr>
          <w:ilvl w:val="0"/>
          <w:numId w:val="3"/>
        </w:numPr>
        <w:jc w:val="both"/>
        <w:rPr>
          <w:rFonts w:asciiTheme="minorHAnsi" w:hAnsiTheme="minorHAnsi" w:cs="Arial"/>
        </w:rPr>
      </w:pPr>
      <w:r>
        <w:rPr>
          <w:rFonts w:asciiTheme="minorHAnsi" w:hAnsiTheme="minorHAnsi" w:cs="Arial"/>
        </w:rPr>
        <w:t xml:space="preserve">Przy ustnym przetargu stosuje się przepisy wynikające z Rozporządzenia Rady Ministrów </w:t>
      </w:r>
      <w:r>
        <w:rPr>
          <w:rFonts w:asciiTheme="minorHAnsi" w:hAnsiTheme="minorHAnsi" w:cs="Arial"/>
        </w:rPr>
        <w:br/>
        <w:t>z dnia 14 września 2004 r. w sprawie sposobu  i trybu  przeprowadzania przetargów oraz rokowań na zbycie nieruchomości (Dz. U. z 2014 r. poz.1490).</w:t>
      </w:r>
    </w:p>
    <w:p w:rsidR="00986981" w:rsidRDefault="00986981" w:rsidP="00986981">
      <w:pPr>
        <w:jc w:val="both"/>
        <w:rPr>
          <w:rFonts w:asciiTheme="minorHAnsi" w:hAnsiTheme="minorHAnsi" w:cs="Arial"/>
        </w:rPr>
      </w:pPr>
    </w:p>
    <w:p w:rsidR="00986981" w:rsidRDefault="00986981" w:rsidP="00986981">
      <w:pPr>
        <w:rPr>
          <w:rFonts w:asciiTheme="minorHAnsi" w:hAnsiTheme="minorHAnsi" w:cs="Arial"/>
          <w:b/>
        </w:rPr>
      </w:pPr>
    </w:p>
    <w:p w:rsidR="00986981" w:rsidRDefault="00986981" w:rsidP="00986981">
      <w:pPr>
        <w:rPr>
          <w:rFonts w:asciiTheme="minorHAnsi" w:hAnsiTheme="minorHAnsi" w:cs="Arial"/>
          <w:b/>
        </w:rPr>
      </w:pPr>
    </w:p>
    <w:p w:rsidR="00986981" w:rsidRDefault="00986981" w:rsidP="00986981"/>
    <w:p w:rsidR="00986981" w:rsidRDefault="00986981" w:rsidP="00986981"/>
    <w:p w:rsidR="00986981" w:rsidRDefault="00986981" w:rsidP="00986981"/>
    <w:p w:rsidR="00986981" w:rsidRDefault="00986981" w:rsidP="00986981"/>
    <w:p w:rsidR="002A45FB" w:rsidRDefault="002A45FB">
      <w:bookmarkStart w:id="0" w:name="_GoBack"/>
      <w:bookmarkEnd w:id="0"/>
    </w:p>
    <w:sectPr w:rsidR="002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F8"/>
    <w:rsid w:val="002A45FB"/>
    <w:rsid w:val="004D7DF8"/>
    <w:rsid w:val="00986981"/>
    <w:rsid w:val="00B60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6981"/>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986981"/>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6981"/>
    <w:rPr>
      <w:rFonts w:ascii="Arial" w:eastAsia="Calibri" w:hAnsi="Arial" w:cs="Arial"/>
      <w:sz w:val="32"/>
      <w:szCs w:val="24"/>
      <w:lang w:eastAsia="pl-PL"/>
    </w:rPr>
  </w:style>
  <w:style w:type="character" w:styleId="Hipercze">
    <w:name w:val="Hyperlink"/>
    <w:semiHidden/>
    <w:unhideWhenUsed/>
    <w:rsid w:val="00986981"/>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986981"/>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986981"/>
    <w:rPr>
      <w:rFonts w:ascii="Arial" w:eastAsia="Calibri" w:hAnsi="Arial" w:cs="Times New Roman"/>
      <w:sz w:val="24"/>
      <w:szCs w:val="20"/>
      <w:lang w:eastAsia="pl-PL"/>
    </w:rPr>
  </w:style>
  <w:style w:type="paragraph" w:styleId="Akapitzlist">
    <w:name w:val="List Paragraph"/>
    <w:basedOn w:val="Normalny"/>
    <w:uiPriority w:val="34"/>
    <w:qFormat/>
    <w:rsid w:val="00986981"/>
    <w:pPr>
      <w:ind w:left="720"/>
      <w:contextualSpacing/>
    </w:pPr>
  </w:style>
  <w:style w:type="character" w:styleId="Uwydatnienie">
    <w:name w:val="Emphasis"/>
    <w:basedOn w:val="Domylnaczcionkaakapitu"/>
    <w:uiPriority w:val="20"/>
    <w:qFormat/>
    <w:rsid w:val="00986981"/>
    <w:rPr>
      <w:i/>
      <w:iCs/>
    </w:rPr>
  </w:style>
  <w:style w:type="table" w:styleId="Tabela-Siatka">
    <w:name w:val="Table Grid"/>
    <w:basedOn w:val="Standardowy"/>
    <w:uiPriority w:val="59"/>
    <w:rsid w:val="009869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6981"/>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986981"/>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6981"/>
    <w:rPr>
      <w:rFonts w:ascii="Arial" w:eastAsia="Calibri" w:hAnsi="Arial" w:cs="Arial"/>
      <w:sz w:val="32"/>
      <w:szCs w:val="24"/>
      <w:lang w:eastAsia="pl-PL"/>
    </w:rPr>
  </w:style>
  <w:style w:type="character" w:styleId="Hipercze">
    <w:name w:val="Hyperlink"/>
    <w:semiHidden/>
    <w:unhideWhenUsed/>
    <w:rsid w:val="00986981"/>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986981"/>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986981"/>
    <w:rPr>
      <w:rFonts w:ascii="Arial" w:eastAsia="Calibri" w:hAnsi="Arial" w:cs="Times New Roman"/>
      <w:sz w:val="24"/>
      <w:szCs w:val="20"/>
      <w:lang w:eastAsia="pl-PL"/>
    </w:rPr>
  </w:style>
  <w:style w:type="paragraph" w:styleId="Akapitzlist">
    <w:name w:val="List Paragraph"/>
    <w:basedOn w:val="Normalny"/>
    <w:uiPriority w:val="34"/>
    <w:qFormat/>
    <w:rsid w:val="00986981"/>
    <w:pPr>
      <w:ind w:left="720"/>
      <w:contextualSpacing/>
    </w:pPr>
  </w:style>
  <w:style w:type="character" w:styleId="Uwydatnienie">
    <w:name w:val="Emphasis"/>
    <w:basedOn w:val="Domylnaczcionkaakapitu"/>
    <w:uiPriority w:val="20"/>
    <w:qFormat/>
    <w:rsid w:val="00986981"/>
    <w:rPr>
      <w:i/>
      <w:iCs/>
    </w:rPr>
  </w:style>
  <w:style w:type="table" w:styleId="Tabela-Siatka">
    <w:name w:val="Table Grid"/>
    <w:basedOn w:val="Standardowy"/>
    <w:uiPriority w:val="59"/>
    <w:rsid w:val="009869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9613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2018-10-11T11:20:00Z</dcterms:created>
  <dcterms:modified xsi:type="dcterms:W3CDTF">2018-10-11T11:20:00Z</dcterms:modified>
</cp:coreProperties>
</file>