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94" w:rsidRDefault="004A3694" w:rsidP="004A3694">
      <w:pPr>
        <w:jc w:val="center"/>
        <w:rPr>
          <w:rFonts w:asciiTheme="minorHAnsi" w:hAnsiTheme="minorHAnsi" w:cstheme="minorHAnsi"/>
          <w:b/>
        </w:rPr>
      </w:pPr>
      <w:r>
        <w:rPr>
          <w:rFonts w:asciiTheme="minorHAnsi" w:hAnsiTheme="minorHAnsi" w:cstheme="minorHAnsi"/>
          <w:b/>
        </w:rPr>
        <w:t>Burmistrz Polic</w:t>
      </w:r>
    </w:p>
    <w:p w:rsidR="004A3694" w:rsidRDefault="004A3694" w:rsidP="004A3694">
      <w:pPr>
        <w:jc w:val="both"/>
        <w:rPr>
          <w:rFonts w:asciiTheme="minorHAnsi" w:hAnsiTheme="minorHAnsi" w:cs="Arial"/>
          <w:sz w:val="22"/>
          <w:szCs w:val="22"/>
        </w:rPr>
      </w:pPr>
      <w:r>
        <w:rPr>
          <w:rFonts w:asciiTheme="minorHAnsi" w:hAnsiTheme="minorHAnsi" w:cstheme="minorHAnsi"/>
        </w:rPr>
        <w:t xml:space="preserve">ogłasza pierwszy przetarg ustny nieograniczony na </w:t>
      </w:r>
      <w:r>
        <w:rPr>
          <w:rFonts w:asciiTheme="minorHAnsi" w:hAnsiTheme="minorHAnsi" w:cstheme="minorHAnsi"/>
          <w:b/>
        </w:rPr>
        <w:t xml:space="preserve">sprzedaż </w:t>
      </w:r>
      <w:r>
        <w:rPr>
          <w:rFonts w:asciiTheme="minorHAnsi" w:hAnsiTheme="minorHAnsi" w:cs="Arial"/>
          <w:b/>
          <w:sz w:val="22"/>
          <w:szCs w:val="22"/>
        </w:rPr>
        <w:t>prawa użytkowania wieczystego</w:t>
      </w:r>
      <w:r>
        <w:rPr>
          <w:rFonts w:asciiTheme="minorHAnsi" w:hAnsiTheme="minorHAnsi" w:cs="Arial"/>
          <w:sz w:val="22"/>
          <w:szCs w:val="22"/>
        </w:rPr>
        <w:t xml:space="preserve">  nieruchomości położonej w Policach</w:t>
      </w:r>
    </w:p>
    <w:tbl>
      <w:tblPr>
        <w:tblW w:w="91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743"/>
        <w:gridCol w:w="1593"/>
        <w:gridCol w:w="2022"/>
        <w:gridCol w:w="1474"/>
        <w:gridCol w:w="2330"/>
      </w:tblGrid>
      <w:tr w:rsidR="004A3694" w:rsidTr="004A3694">
        <w:tc>
          <w:tcPr>
            <w:tcW w:w="1743" w:type="dxa"/>
            <w:tcBorders>
              <w:top w:val="single" w:sz="4" w:space="0" w:color="auto"/>
              <w:left w:val="single" w:sz="4" w:space="0" w:color="auto"/>
              <w:bottom w:val="single" w:sz="4" w:space="0" w:color="auto"/>
              <w:right w:val="single" w:sz="4" w:space="0" w:color="auto"/>
            </w:tcBorders>
            <w:hideMark/>
          </w:tcPr>
          <w:p w:rsidR="004A3694" w:rsidRDefault="004A3694">
            <w:pPr>
              <w:spacing w:line="276" w:lineRule="auto"/>
              <w:jc w:val="center"/>
              <w:rPr>
                <w:rFonts w:asciiTheme="minorHAnsi" w:hAnsiTheme="minorHAnsi"/>
                <w:b/>
                <w:sz w:val="22"/>
                <w:szCs w:val="22"/>
                <w:lang w:eastAsia="en-US"/>
              </w:rPr>
            </w:pPr>
            <w:r>
              <w:rPr>
                <w:rFonts w:asciiTheme="minorHAnsi" w:hAnsiTheme="minorHAnsi"/>
                <w:b/>
                <w:sz w:val="22"/>
                <w:szCs w:val="22"/>
                <w:lang w:eastAsia="en-US"/>
              </w:rPr>
              <w:t xml:space="preserve">POŁOŻENIE </w:t>
            </w:r>
            <w:r>
              <w:rPr>
                <w:rFonts w:asciiTheme="minorHAnsi" w:hAnsiTheme="minorHAnsi"/>
                <w:b/>
                <w:sz w:val="22"/>
                <w:szCs w:val="22"/>
                <w:lang w:eastAsia="en-US"/>
              </w:rPr>
              <w:br/>
              <w:t>I NUMER DZIAŁKI</w:t>
            </w:r>
          </w:p>
        </w:tc>
        <w:tc>
          <w:tcPr>
            <w:tcW w:w="1593" w:type="dxa"/>
            <w:tcBorders>
              <w:top w:val="single" w:sz="4" w:space="0" w:color="auto"/>
              <w:left w:val="single" w:sz="4" w:space="0" w:color="auto"/>
              <w:bottom w:val="single" w:sz="4" w:space="0" w:color="auto"/>
              <w:right w:val="single" w:sz="4" w:space="0" w:color="auto"/>
            </w:tcBorders>
            <w:hideMark/>
          </w:tcPr>
          <w:p w:rsidR="004A3694" w:rsidRDefault="004A3694">
            <w:pPr>
              <w:spacing w:line="276" w:lineRule="auto"/>
              <w:jc w:val="center"/>
              <w:rPr>
                <w:rFonts w:asciiTheme="minorHAnsi" w:hAnsiTheme="minorHAnsi"/>
                <w:b/>
                <w:sz w:val="22"/>
                <w:szCs w:val="22"/>
                <w:lang w:eastAsia="en-US"/>
              </w:rPr>
            </w:pPr>
            <w:r>
              <w:rPr>
                <w:rFonts w:asciiTheme="minorHAnsi" w:hAnsiTheme="minorHAnsi"/>
                <w:b/>
                <w:sz w:val="22"/>
                <w:szCs w:val="22"/>
                <w:lang w:eastAsia="en-US"/>
              </w:rPr>
              <w:t>POWIERZCHNIA</w:t>
            </w:r>
          </w:p>
        </w:tc>
        <w:tc>
          <w:tcPr>
            <w:tcW w:w="2022" w:type="dxa"/>
            <w:tcBorders>
              <w:top w:val="single" w:sz="4" w:space="0" w:color="auto"/>
              <w:left w:val="single" w:sz="4" w:space="0" w:color="auto"/>
              <w:bottom w:val="single" w:sz="4" w:space="0" w:color="auto"/>
              <w:right w:val="single" w:sz="4" w:space="0" w:color="auto"/>
            </w:tcBorders>
            <w:vAlign w:val="center"/>
            <w:hideMark/>
          </w:tcPr>
          <w:p w:rsidR="004A3694" w:rsidRDefault="004A3694">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CENA WYWOŁAWCZA</w:t>
            </w:r>
          </w:p>
        </w:tc>
        <w:tc>
          <w:tcPr>
            <w:tcW w:w="1474" w:type="dxa"/>
            <w:tcBorders>
              <w:top w:val="single" w:sz="4" w:space="0" w:color="auto"/>
              <w:left w:val="single" w:sz="4" w:space="0" w:color="auto"/>
              <w:bottom w:val="single" w:sz="4" w:space="0" w:color="auto"/>
              <w:right w:val="single" w:sz="4" w:space="0" w:color="auto"/>
            </w:tcBorders>
            <w:hideMark/>
          </w:tcPr>
          <w:p w:rsidR="004A3694" w:rsidRDefault="004A3694">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WADIUM</w:t>
            </w:r>
          </w:p>
        </w:tc>
        <w:tc>
          <w:tcPr>
            <w:tcW w:w="2330" w:type="dxa"/>
            <w:tcBorders>
              <w:top w:val="single" w:sz="4" w:space="0" w:color="auto"/>
              <w:left w:val="single" w:sz="4" w:space="0" w:color="auto"/>
              <w:bottom w:val="single" w:sz="4" w:space="0" w:color="auto"/>
              <w:right w:val="single" w:sz="4" w:space="0" w:color="auto"/>
            </w:tcBorders>
            <w:hideMark/>
          </w:tcPr>
          <w:p w:rsidR="004A3694" w:rsidRDefault="004A3694">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MIN.POSTĄPIENIE</w:t>
            </w:r>
          </w:p>
        </w:tc>
      </w:tr>
      <w:tr w:rsidR="004A3694" w:rsidTr="004A3694">
        <w:tc>
          <w:tcPr>
            <w:tcW w:w="1743" w:type="dxa"/>
            <w:tcBorders>
              <w:top w:val="single" w:sz="4" w:space="0" w:color="auto"/>
              <w:left w:val="single" w:sz="4" w:space="0" w:color="auto"/>
              <w:bottom w:val="single" w:sz="4" w:space="0" w:color="auto"/>
              <w:right w:val="single" w:sz="4" w:space="0" w:color="auto"/>
            </w:tcBorders>
          </w:tcPr>
          <w:p w:rsidR="004A3694" w:rsidRDefault="004A3694">
            <w:pPr>
              <w:spacing w:line="276" w:lineRule="auto"/>
              <w:rPr>
                <w:rFonts w:asciiTheme="minorHAnsi" w:hAnsiTheme="minorHAnsi"/>
                <w:sz w:val="22"/>
                <w:szCs w:val="22"/>
                <w:lang w:eastAsia="en-US"/>
              </w:rPr>
            </w:pPr>
          </w:p>
          <w:p w:rsidR="004A3694" w:rsidRDefault="004A3694">
            <w:pPr>
              <w:spacing w:line="276" w:lineRule="auto"/>
              <w:rPr>
                <w:rFonts w:asciiTheme="minorHAnsi" w:hAnsiTheme="minorHAnsi"/>
                <w:sz w:val="22"/>
                <w:szCs w:val="22"/>
                <w:lang w:eastAsia="en-US"/>
              </w:rPr>
            </w:pPr>
            <w:r>
              <w:rPr>
                <w:rFonts w:asciiTheme="minorHAnsi" w:hAnsiTheme="minorHAnsi"/>
                <w:sz w:val="22"/>
                <w:szCs w:val="22"/>
                <w:lang w:eastAsia="en-US"/>
              </w:rPr>
              <w:t>m. Police</w:t>
            </w:r>
          </w:p>
          <w:p w:rsidR="004A3694" w:rsidRDefault="004A3694">
            <w:pPr>
              <w:spacing w:line="276" w:lineRule="auto"/>
              <w:rPr>
                <w:rFonts w:asciiTheme="minorHAnsi" w:hAnsiTheme="minorHAnsi"/>
                <w:sz w:val="22"/>
                <w:szCs w:val="22"/>
                <w:lang w:eastAsia="en-US"/>
              </w:rPr>
            </w:pPr>
            <w:r>
              <w:rPr>
                <w:rFonts w:asciiTheme="minorHAnsi" w:hAnsiTheme="minorHAnsi"/>
                <w:sz w:val="22"/>
                <w:szCs w:val="22"/>
                <w:lang w:eastAsia="en-US"/>
              </w:rPr>
              <w:t>obręb 2-Police</w:t>
            </w:r>
          </w:p>
          <w:p w:rsidR="004A3694" w:rsidRDefault="004A3694">
            <w:pPr>
              <w:spacing w:line="276" w:lineRule="auto"/>
              <w:rPr>
                <w:rFonts w:asciiTheme="minorHAnsi" w:hAnsiTheme="minorHAnsi"/>
                <w:sz w:val="22"/>
                <w:szCs w:val="22"/>
                <w:lang w:eastAsia="en-US"/>
              </w:rPr>
            </w:pPr>
            <w:r>
              <w:rPr>
                <w:rFonts w:asciiTheme="minorHAnsi" w:hAnsiTheme="minorHAnsi"/>
                <w:sz w:val="22"/>
                <w:szCs w:val="22"/>
                <w:lang w:eastAsia="en-US"/>
              </w:rPr>
              <w:t>dz. nr 1131/2</w:t>
            </w:r>
          </w:p>
        </w:tc>
        <w:tc>
          <w:tcPr>
            <w:tcW w:w="1593" w:type="dxa"/>
            <w:tcBorders>
              <w:top w:val="single" w:sz="4" w:space="0" w:color="auto"/>
              <w:left w:val="single" w:sz="4" w:space="0" w:color="auto"/>
              <w:bottom w:val="single" w:sz="4" w:space="0" w:color="auto"/>
              <w:right w:val="single" w:sz="4" w:space="0" w:color="auto"/>
            </w:tcBorders>
          </w:tcPr>
          <w:p w:rsidR="004A3694" w:rsidRDefault="004A3694">
            <w:pPr>
              <w:spacing w:line="276" w:lineRule="auto"/>
              <w:rPr>
                <w:rFonts w:asciiTheme="minorHAnsi" w:hAnsiTheme="minorHAnsi"/>
                <w:sz w:val="22"/>
                <w:szCs w:val="22"/>
                <w:lang w:eastAsia="en-US"/>
              </w:rPr>
            </w:pPr>
          </w:p>
          <w:p w:rsidR="004A3694" w:rsidRDefault="004A3694">
            <w:pPr>
              <w:spacing w:line="276" w:lineRule="auto"/>
              <w:rPr>
                <w:rFonts w:asciiTheme="minorHAnsi" w:hAnsiTheme="minorHAnsi"/>
                <w:sz w:val="22"/>
                <w:szCs w:val="22"/>
                <w:lang w:eastAsia="en-US"/>
              </w:rPr>
            </w:pPr>
            <w:r>
              <w:rPr>
                <w:rFonts w:asciiTheme="minorHAnsi" w:hAnsiTheme="minorHAnsi"/>
                <w:sz w:val="22"/>
                <w:szCs w:val="22"/>
                <w:lang w:eastAsia="en-US"/>
              </w:rPr>
              <w:t>1,3870 ha</w:t>
            </w:r>
          </w:p>
        </w:tc>
        <w:tc>
          <w:tcPr>
            <w:tcW w:w="2022" w:type="dxa"/>
            <w:tcBorders>
              <w:top w:val="single" w:sz="4" w:space="0" w:color="auto"/>
              <w:left w:val="single" w:sz="4" w:space="0" w:color="auto"/>
              <w:bottom w:val="single" w:sz="4" w:space="0" w:color="auto"/>
              <w:right w:val="single" w:sz="4" w:space="0" w:color="auto"/>
            </w:tcBorders>
            <w:hideMark/>
          </w:tcPr>
          <w:p w:rsidR="004A3694" w:rsidRDefault="004A3694">
            <w:pPr>
              <w:spacing w:line="276" w:lineRule="auto"/>
              <w:rPr>
                <w:rFonts w:asciiTheme="minorHAnsi" w:hAnsiTheme="minorHAnsi"/>
                <w:sz w:val="22"/>
                <w:szCs w:val="22"/>
                <w:lang w:eastAsia="en-US"/>
              </w:rPr>
            </w:pPr>
            <w:r>
              <w:rPr>
                <w:rFonts w:asciiTheme="minorHAnsi" w:hAnsiTheme="minorHAnsi"/>
                <w:sz w:val="22"/>
                <w:szCs w:val="22"/>
                <w:lang w:eastAsia="en-US"/>
              </w:rPr>
              <w:t>443 000,00 zł brutto</w:t>
            </w:r>
          </w:p>
          <w:p w:rsidR="004A3694" w:rsidRDefault="004A3694">
            <w:pPr>
              <w:pStyle w:val="Tekstpodstawowy"/>
              <w:spacing w:line="276" w:lineRule="auto"/>
              <w:jc w:val="center"/>
              <w:rPr>
                <w:rFonts w:asciiTheme="minorHAnsi" w:hAnsiTheme="minorHAnsi" w:cstheme="minorHAnsi"/>
                <w:lang w:eastAsia="en-US"/>
              </w:rPr>
            </w:pPr>
            <w:r>
              <w:rPr>
                <w:rFonts w:asciiTheme="minorHAnsi" w:hAnsiTheme="minorHAnsi"/>
                <w:sz w:val="22"/>
                <w:szCs w:val="22"/>
                <w:lang w:eastAsia="en-US"/>
              </w:rPr>
              <w:t>zawiera podatek VAT w stawce 23%</w:t>
            </w:r>
          </w:p>
        </w:tc>
        <w:tc>
          <w:tcPr>
            <w:tcW w:w="1474" w:type="dxa"/>
            <w:tcBorders>
              <w:top w:val="single" w:sz="4" w:space="0" w:color="auto"/>
              <w:left w:val="single" w:sz="4" w:space="0" w:color="auto"/>
              <w:bottom w:val="single" w:sz="4" w:space="0" w:color="auto"/>
              <w:right w:val="single" w:sz="4" w:space="0" w:color="auto"/>
            </w:tcBorders>
            <w:hideMark/>
          </w:tcPr>
          <w:p w:rsidR="004A3694" w:rsidRDefault="004A3694">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 xml:space="preserve"> 23 000,00 zł</w:t>
            </w:r>
          </w:p>
        </w:tc>
        <w:tc>
          <w:tcPr>
            <w:tcW w:w="2330" w:type="dxa"/>
            <w:tcBorders>
              <w:top w:val="single" w:sz="4" w:space="0" w:color="auto"/>
              <w:left w:val="single" w:sz="4" w:space="0" w:color="auto"/>
              <w:bottom w:val="single" w:sz="4" w:space="0" w:color="auto"/>
              <w:right w:val="single" w:sz="4" w:space="0" w:color="auto"/>
            </w:tcBorders>
            <w:hideMark/>
          </w:tcPr>
          <w:p w:rsidR="004A3694" w:rsidRDefault="004A3694">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 xml:space="preserve">5 000,00 zł </w:t>
            </w:r>
          </w:p>
        </w:tc>
      </w:tr>
    </w:tbl>
    <w:p w:rsidR="004A3694" w:rsidRDefault="004A3694" w:rsidP="004A3694">
      <w:pPr>
        <w:pStyle w:val="Tekstpodstawowy"/>
        <w:rPr>
          <w:rFonts w:asciiTheme="minorHAnsi" w:hAnsiTheme="minorHAnsi" w:cstheme="minorHAnsi"/>
          <w:b/>
        </w:rPr>
      </w:pPr>
    </w:p>
    <w:p w:rsidR="004A3694" w:rsidRDefault="004A3694" w:rsidP="004A3694">
      <w:pPr>
        <w:jc w:val="both"/>
        <w:rPr>
          <w:rFonts w:asciiTheme="minorHAnsi" w:hAnsiTheme="minorHAnsi"/>
          <w:sz w:val="22"/>
          <w:szCs w:val="22"/>
        </w:rPr>
      </w:pPr>
      <w:r>
        <w:rPr>
          <w:rFonts w:asciiTheme="minorHAnsi" w:hAnsiTheme="minorHAnsi" w:cstheme="minorHAnsi"/>
          <w:b/>
        </w:rPr>
        <w:t>Opis nieruchomości:</w:t>
      </w:r>
      <w:r>
        <w:rPr>
          <w:rFonts w:asciiTheme="minorHAnsi" w:hAnsiTheme="minorHAnsi" w:cstheme="minorHAnsi"/>
        </w:rPr>
        <w:t xml:space="preserve"> </w:t>
      </w:r>
      <w:r>
        <w:rPr>
          <w:rFonts w:asciiTheme="minorHAnsi" w:hAnsiTheme="minorHAnsi"/>
          <w:sz w:val="20"/>
          <w:szCs w:val="20"/>
        </w:rPr>
        <w:t xml:space="preserve"> </w:t>
      </w:r>
      <w:r>
        <w:rPr>
          <w:rFonts w:asciiTheme="minorHAnsi" w:hAnsiTheme="minorHAnsi"/>
        </w:rPr>
        <w:t xml:space="preserve">działka położona jest w Policach w obrębie ulicy Jasienickiej. Właścicielem działki jest Skarb Państwa, Gmina Police jest jej użytkownikiem wieczystym do 05.12.2089r. Działka ma kształt zbliżony do trójkąta, od strony wschodniej przylega do działki nr 1131/3 przeznaczonej pod poszerzenie  drogi wojewódzkiej 114  (ulicy Jasienickiej ) oraz wewnętrznej drogi - nieurządzonej, o trawiastej i zachwaszczonej nawierzchni. Działka  jest nieogrodzona, porośnięta trawą, na części </w:t>
      </w:r>
      <w:proofErr w:type="spellStart"/>
      <w:r>
        <w:rPr>
          <w:rFonts w:asciiTheme="minorHAnsi" w:hAnsiTheme="minorHAnsi"/>
        </w:rPr>
        <w:t>zakrzaczeniami</w:t>
      </w:r>
      <w:proofErr w:type="spellEnd"/>
      <w:r>
        <w:rPr>
          <w:rFonts w:asciiTheme="minorHAnsi" w:hAnsiTheme="minorHAnsi"/>
        </w:rPr>
        <w:t xml:space="preserve"> i zadrzewieniem – samosiejki brzozy, olchy, topoli, zdziczałe drzewa owocowe.  W północnej części działki mogą wystąpić pozostałości po rozbiórce budynku gospodarczego. W odległości ok. 100 m położone są tereny kolejowe z nieczynną bocznicą kolejową, w odległości ok. 2 km znajduje się  Port Barkowy oraz Port Morski. Otoczenie stanowią tereny wykorzystywane na cele różnych działalności związanych z obsługą przemysłu, magazynowe, produkcyjne, transportowe oraz zabudowa i urządzenia Zakładów Chemicznych „Police” i wolne tereny inwestycyjne. Dla działki prowadzona  jest księga wieczysta </w:t>
      </w:r>
      <w:r>
        <w:rPr>
          <w:rFonts w:asciiTheme="minorHAnsi" w:hAnsiTheme="minorHAnsi"/>
          <w:sz w:val="22"/>
          <w:szCs w:val="22"/>
        </w:rPr>
        <w:t>KW SZ2S/00034936/6.</w:t>
      </w:r>
    </w:p>
    <w:p w:rsidR="004A3694" w:rsidRDefault="004A3694" w:rsidP="004A3694">
      <w:pPr>
        <w:jc w:val="both"/>
        <w:rPr>
          <w:rFonts w:asciiTheme="minorHAnsi" w:hAnsiTheme="minorHAnsi"/>
        </w:rPr>
      </w:pPr>
      <w:r>
        <w:rPr>
          <w:rFonts w:asciiTheme="minorHAnsi" w:hAnsiTheme="minorHAnsi"/>
          <w:b/>
        </w:rPr>
        <w:t>Przeznaczenie w miejscowym planie zagospodarowania przestrzennego:</w:t>
      </w:r>
      <w:r>
        <w:rPr>
          <w:rFonts w:asciiTheme="minorHAnsi" w:hAnsiTheme="minorHAnsi"/>
        </w:rPr>
        <w:t xml:space="preserve"> zgodnie </w:t>
      </w:r>
      <w:r>
        <w:rPr>
          <w:rFonts w:asciiTheme="minorHAnsi" w:hAnsiTheme="minorHAnsi"/>
        </w:rPr>
        <w:br/>
        <w:t>z Uchwałą Nr XLVI/361/06 Rady Miejskiej w Policach z dnia 4 lipca 2006 roku (</w:t>
      </w:r>
      <w:proofErr w:type="spellStart"/>
      <w:r>
        <w:rPr>
          <w:rFonts w:asciiTheme="minorHAnsi" w:hAnsiTheme="minorHAnsi"/>
        </w:rPr>
        <w:t>Dz.Urzęd</w:t>
      </w:r>
      <w:proofErr w:type="spellEnd"/>
      <w:r>
        <w:rPr>
          <w:rFonts w:asciiTheme="minorHAnsi" w:hAnsiTheme="minorHAnsi"/>
        </w:rPr>
        <w:t xml:space="preserve">. </w:t>
      </w:r>
      <w:proofErr w:type="spellStart"/>
      <w:r>
        <w:rPr>
          <w:rFonts w:asciiTheme="minorHAnsi" w:hAnsiTheme="minorHAnsi"/>
        </w:rPr>
        <w:t>Woj.Zachodniopomorskiego</w:t>
      </w:r>
      <w:proofErr w:type="spellEnd"/>
      <w:r>
        <w:rPr>
          <w:rFonts w:asciiTheme="minorHAnsi" w:hAnsiTheme="minorHAnsi"/>
        </w:rPr>
        <w:t xml:space="preserve"> z dnia 12 marca 2007 roku Nr 30 poz.449) działka nr  1131/2  znajduje się  na terenach elementarnych oznaczonych w planie symbolami 9 ZCH 23PU (tereny obiektów produkcyjno-usługowych), 9 ZCH 38E (elektroenergetyka).</w:t>
      </w:r>
    </w:p>
    <w:p w:rsidR="004A3694" w:rsidRDefault="004A3694" w:rsidP="004A3694">
      <w:pPr>
        <w:pStyle w:val="Tekstpodstawowy"/>
        <w:tabs>
          <w:tab w:val="left" w:pos="615"/>
        </w:tabs>
        <w:textAlignment w:val="baseline"/>
        <w:rPr>
          <w:rFonts w:asciiTheme="minorHAnsi" w:hAnsiTheme="minorHAnsi" w:cs="Arial"/>
          <w:szCs w:val="24"/>
        </w:rPr>
      </w:pPr>
      <w:r>
        <w:rPr>
          <w:rFonts w:asciiTheme="minorHAnsi" w:hAnsiTheme="minorHAnsi"/>
          <w:szCs w:val="24"/>
        </w:rPr>
        <w:t xml:space="preserve">Nabywca nieruchomości będzie </w:t>
      </w:r>
      <w:r>
        <w:rPr>
          <w:rFonts w:asciiTheme="minorHAnsi" w:hAnsiTheme="minorHAnsi" w:cs="Arial"/>
          <w:szCs w:val="24"/>
        </w:rPr>
        <w:t xml:space="preserve">wnosić  przez cały okres użytkowania wieczystego,  </w:t>
      </w:r>
      <w:r>
        <w:rPr>
          <w:rFonts w:asciiTheme="minorHAnsi" w:hAnsiTheme="minorHAnsi" w:cs="Arial"/>
          <w:szCs w:val="24"/>
        </w:rPr>
        <w:br/>
        <w:t xml:space="preserve">w terminie do 31 marca każdego roku, opłaty roczne z tytułu użytkowania wieczystego. Stawka procentowa opłaty rocznej wynosi 3 % wartości nieruchomości. Wysokość opłaty </w:t>
      </w:r>
      <w:r>
        <w:rPr>
          <w:rFonts w:asciiTheme="minorHAnsi" w:hAnsiTheme="minorHAnsi" w:cs="Arial"/>
          <w:szCs w:val="24"/>
        </w:rPr>
        <w:br/>
        <w:t>z tytułu użytkowania wieczystego podlega aktualizacji nie częściej niż raz na trzy lata, jeżeli wartość nieruchomości ulegnie zmianie.  Wysokość opłaty za rok 2018  została ustalona na podstawie operatu szacunkowego z dnia 19.12.2014r. określającego wartość  działki  nr 1131 (z której powstała działka nr 1131/2) w wysokości 21,51 zł/m</w:t>
      </w:r>
      <w:r>
        <w:rPr>
          <w:rFonts w:asciiTheme="minorHAnsi" w:hAnsiTheme="minorHAnsi" w:cs="Arial"/>
          <w:szCs w:val="24"/>
          <w:vertAlign w:val="superscript"/>
        </w:rPr>
        <w:t>2</w:t>
      </w:r>
      <w:r>
        <w:rPr>
          <w:rFonts w:asciiTheme="minorHAnsi" w:hAnsiTheme="minorHAnsi" w:cs="Arial"/>
          <w:szCs w:val="24"/>
        </w:rPr>
        <w:t>.</w:t>
      </w:r>
    </w:p>
    <w:p w:rsidR="004A3694" w:rsidRDefault="004A3694" w:rsidP="004A3694">
      <w:pPr>
        <w:pStyle w:val="Tekstpodstawowy"/>
        <w:tabs>
          <w:tab w:val="left" w:pos="615"/>
        </w:tabs>
        <w:textAlignment w:val="baseline"/>
        <w:rPr>
          <w:rFonts w:asciiTheme="minorHAnsi" w:hAnsiTheme="minorHAnsi" w:cs="Arial"/>
          <w:szCs w:val="24"/>
        </w:rPr>
      </w:pPr>
    </w:p>
    <w:p w:rsidR="004A3694" w:rsidRDefault="004A3694" w:rsidP="004A3694">
      <w:pPr>
        <w:pStyle w:val="Tekstpodstawowy"/>
        <w:rPr>
          <w:rFonts w:asciiTheme="minorHAnsi" w:hAnsiTheme="minorHAnsi" w:cs="Arial"/>
          <w:b/>
        </w:rPr>
      </w:pPr>
      <w:r>
        <w:rPr>
          <w:rFonts w:asciiTheme="minorHAnsi" w:hAnsiTheme="minorHAnsi" w:cs="Arial"/>
          <w:b/>
        </w:rPr>
        <w:t xml:space="preserve">Przetarg odbędzie się w dniu 4 grudnia  2018 r. o godzinie 9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Stefana Batorego 3  (II piętro, sala konferencyjna).</w:t>
      </w:r>
    </w:p>
    <w:p w:rsidR="004A3694" w:rsidRDefault="004A3694" w:rsidP="004A3694">
      <w:pPr>
        <w:jc w:val="both"/>
        <w:rPr>
          <w:rFonts w:asciiTheme="minorHAnsi" w:hAnsiTheme="minorHAnsi"/>
          <w:b/>
        </w:rPr>
      </w:pPr>
    </w:p>
    <w:p w:rsidR="004A3694" w:rsidRDefault="004A3694" w:rsidP="004A3694">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4A3694" w:rsidRDefault="004A3694" w:rsidP="004A3694">
      <w:pPr>
        <w:jc w:val="both"/>
        <w:rPr>
          <w:rFonts w:asciiTheme="minorHAnsi" w:hAnsiTheme="minorHAnsi" w:cs="Arial"/>
        </w:rPr>
      </w:pPr>
      <w:r>
        <w:rPr>
          <w:rFonts w:asciiTheme="minorHAnsi" w:hAnsiTheme="minorHAnsi" w:cs="Arial"/>
        </w:rPr>
        <w:t xml:space="preserve">W przetargu mogą brać udział osoby, które wpłacą wadium w wysokości i terminie podanym w ogłoszeniu o przetargu. </w:t>
      </w:r>
    </w:p>
    <w:p w:rsidR="004A3694" w:rsidRDefault="004A3694" w:rsidP="004A3694">
      <w:pPr>
        <w:spacing w:after="120"/>
        <w:jc w:val="both"/>
        <w:rPr>
          <w:rFonts w:asciiTheme="minorHAnsi" w:hAnsiTheme="minorHAnsi"/>
          <w:b/>
          <w:bCs/>
        </w:rPr>
      </w:pP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przelewem na rachunek Gminy Police prowadzony  w II Oddziale Banku Pekao SA, nr rachunku: 15 1240 3927 1111 0010 6013 0076, </w:t>
      </w:r>
      <w:r>
        <w:rPr>
          <w:rFonts w:asciiTheme="minorHAnsi" w:hAnsiTheme="minorHAnsi"/>
          <w:b/>
        </w:rPr>
        <w:t xml:space="preserve">najpóźniej do </w:t>
      </w:r>
      <w:r>
        <w:rPr>
          <w:rFonts w:asciiTheme="minorHAnsi" w:hAnsiTheme="minorHAnsi"/>
          <w:b/>
        </w:rPr>
        <w:lastRenderedPageBreak/>
        <w:t>dnia 28 listopada 2018 r.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dane uczestnika przetargu.</w:t>
      </w:r>
    </w:p>
    <w:p w:rsidR="004A3694" w:rsidRDefault="004A3694" w:rsidP="004A3694">
      <w:pPr>
        <w:jc w:val="both"/>
        <w:rPr>
          <w:rFonts w:asciiTheme="minorHAnsi" w:hAnsiTheme="minorHAnsi"/>
        </w:rPr>
      </w:pPr>
      <w:r>
        <w:rPr>
          <w:rFonts w:asciiTheme="minorHAnsi" w:hAnsiTheme="minorHAnsi"/>
        </w:rPr>
        <w:t xml:space="preserve">W przypadku uchylenia się uczestnika, który wygrał przetarg od zawarcia umowy sprzedaży, wpłacone wadium ulega przepadkowi. </w:t>
      </w:r>
    </w:p>
    <w:p w:rsidR="004A3694" w:rsidRDefault="004A3694" w:rsidP="004A3694">
      <w:pPr>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w:t>
      </w:r>
    </w:p>
    <w:p w:rsidR="004A3694" w:rsidRDefault="004A3694" w:rsidP="004A3694">
      <w:pPr>
        <w:jc w:val="both"/>
        <w:rPr>
          <w:rFonts w:asciiTheme="minorHAnsi" w:hAnsiTheme="minorHAnsi"/>
          <w:b/>
        </w:rPr>
      </w:pPr>
    </w:p>
    <w:p w:rsidR="004A3694" w:rsidRDefault="004A3694" w:rsidP="004A3694">
      <w:pPr>
        <w:jc w:val="both"/>
        <w:rPr>
          <w:rFonts w:asciiTheme="minorHAnsi" w:hAnsiTheme="minorHAnsi" w:cs="Arial"/>
        </w:rPr>
      </w:pPr>
      <w:r>
        <w:rPr>
          <w:rFonts w:asciiTheme="minorHAnsi" w:hAnsiTheme="minorHAnsi" w:cs="Arial"/>
        </w:rPr>
        <w:t>Warunkiem wzięcia udziału w przetargu jest  przedłożenie Komisji Przetargowej:</w:t>
      </w:r>
    </w:p>
    <w:p w:rsidR="004A3694" w:rsidRDefault="004A3694" w:rsidP="004A3694">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4A3694" w:rsidRDefault="004A3694" w:rsidP="004A3694">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4A3694" w:rsidRDefault="004A3694" w:rsidP="004A3694">
      <w:pPr>
        <w:pStyle w:val="Akapitzlist"/>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o Krajowym Rejestrze Sądowym</w:t>
      </w:r>
    </w:p>
    <w:p w:rsidR="004A3694" w:rsidRDefault="004A3694" w:rsidP="004A3694">
      <w:pPr>
        <w:jc w:val="both"/>
        <w:rPr>
          <w:rFonts w:asciiTheme="minorHAnsi" w:hAnsiTheme="minorHAnsi" w:cs="Arial"/>
        </w:rPr>
      </w:pPr>
    </w:p>
    <w:p w:rsidR="004A3694" w:rsidRDefault="004A3694" w:rsidP="004A3694">
      <w:pPr>
        <w:jc w:val="both"/>
        <w:rPr>
          <w:rFonts w:asciiTheme="minorHAnsi" w:hAnsiTheme="minorHAnsi" w:cs="Arial"/>
          <w:b/>
          <w:bCs/>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4A3694" w:rsidRDefault="004A3694" w:rsidP="004A3694">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4A3694" w:rsidRDefault="004A3694" w:rsidP="004A3694">
      <w:pPr>
        <w:jc w:val="both"/>
        <w:rPr>
          <w:rFonts w:asciiTheme="minorHAnsi" w:hAnsiTheme="minorHAnsi" w:cs="Arial"/>
          <w:b/>
        </w:rPr>
      </w:pPr>
    </w:p>
    <w:p w:rsidR="004A3694" w:rsidRDefault="004A3694" w:rsidP="004A3694">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4A3694" w:rsidRDefault="004A3694" w:rsidP="004A3694">
      <w:pPr>
        <w:jc w:val="both"/>
        <w:rPr>
          <w:rFonts w:asciiTheme="minorHAnsi" w:hAnsiTheme="minorHAnsi" w:cs="Arial"/>
          <w:b/>
        </w:rPr>
      </w:pPr>
    </w:p>
    <w:p w:rsidR="004A3694" w:rsidRDefault="004A3694" w:rsidP="004A3694">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4A3694" w:rsidRDefault="004A3694" w:rsidP="004A3694">
      <w:pPr>
        <w:jc w:val="both"/>
        <w:rPr>
          <w:rFonts w:asciiTheme="minorHAnsi" w:hAnsiTheme="minorHAnsi" w:cs="Arial"/>
          <w:b/>
        </w:rPr>
      </w:pPr>
    </w:p>
    <w:p w:rsidR="004A3694" w:rsidRDefault="004A3694" w:rsidP="004A3694">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4A3694" w:rsidRDefault="004A3694" w:rsidP="004A3694">
      <w:pPr>
        <w:jc w:val="both"/>
        <w:rPr>
          <w:rFonts w:asciiTheme="minorHAnsi" w:hAnsiTheme="minorHAnsi"/>
        </w:rPr>
      </w:pPr>
    </w:p>
    <w:p w:rsidR="004A3694" w:rsidRDefault="004A3694" w:rsidP="004A3694">
      <w:pPr>
        <w:jc w:val="both"/>
        <w:rPr>
          <w:rFonts w:asciiTheme="minorHAnsi" w:hAnsiTheme="minorHAnsi"/>
        </w:rPr>
      </w:pPr>
      <w:r>
        <w:rPr>
          <w:rFonts w:asciiTheme="minorHAnsi" w:hAnsiTheme="minorHAnsi"/>
        </w:rPr>
        <w:lastRenderedPageBreak/>
        <w:t>Dodatkowe informacje:</w:t>
      </w:r>
    </w:p>
    <w:p w:rsidR="004A3694" w:rsidRDefault="004A3694" w:rsidP="004A3694">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4A3694" w:rsidRDefault="004A3694" w:rsidP="004A3694">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4A3694" w:rsidRDefault="004A3694" w:rsidP="004A3694">
      <w:pPr>
        <w:numPr>
          <w:ilvl w:val="0"/>
          <w:numId w:val="2"/>
        </w:numPr>
        <w:jc w:val="both"/>
        <w:rPr>
          <w:rFonts w:asciiTheme="minorHAnsi" w:hAnsiTheme="minorHAnsi" w:cs="Arial"/>
        </w:rPr>
      </w:pPr>
      <w:r>
        <w:rPr>
          <w:rFonts w:asciiTheme="minorHAnsi" w:hAnsiTheme="minorHAnsi"/>
        </w:rPr>
        <w:t>Nabywca przejmuje wraz z gruntem obowiązek usunięcia z terenu ewentualnych bezumownych użytkowników</w:t>
      </w:r>
      <w:r>
        <w:rPr>
          <w:rFonts w:asciiTheme="minorHAnsi" w:hAnsiTheme="minorHAnsi" w:cs="Arial"/>
        </w:rPr>
        <w:t>.</w:t>
      </w:r>
    </w:p>
    <w:p w:rsidR="004A3694" w:rsidRDefault="004A3694" w:rsidP="004A3694">
      <w:pPr>
        <w:pStyle w:val="Tekstpodstawowy"/>
        <w:numPr>
          <w:ilvl w:val="0"/>
          <w:numId w:val="2"/>
        </w:numPr>
        <w:tabs>
          <w:tab w:val="left" w:pos="615"/>
        </w:tabs>
        <w:textAlignment w:val="baseline"/>
        <w:rPr>
          <w:rFonts w:asciiTheme="minorHAnsi" w:hAnsiTheme="minorHAnsi" w:cs="Arial"/>
          <w:szCs w:val="24"/>
        </w:rPr>
      </w:pPr>
      <w:r>
        <w:rPr>
          <w:rFonts w:asciiTheme="minorHAnsi" w:hAnsiTheme="minorHAnsi"/>
          <w:szCs w:val="24"/>
        </w:rPr>
        <w:t>Osiągnięta w przetargu cena podlega zapłacie  przed zawarciem umowy sprzedaży. Brak  możliwości rozłożenia ceny  na raty.</w:t>
      </w:r>
    </w:p>
    <w:p w:rsidR="004A3694" w:rsidRDefault="004A3694" w:rsidP="004A3694">
      <w:pPr>
        <w:numPr>
          <w:ilvl w:val="0"/>
          <w:numId w:val="2"/>
        </w:numPr>
        <w:jc w:val="both"/>
        <w:rPr>
          <w:rFonts w:asciiTheme="minorHAnsi" w:hAnsiTheme="minorHAnsi"/>
        </w:rPr>
      </w:pPr>
      <w:r>
        <w:rPr>
          <w:rFonts w:asciiTheme="minorHAnsi" w:hAnsiTheme="minorHAnsi"/>
        </w:rPr>
        <w:t>Koszty notarialne w całości ponosi nabywca nieruchomości.</w:t>
      </w:r>
    </w:p>
    <w:p w:rsidR="004A3694" w:rsidRDefault="004A3694" w:rsidP="004A3694">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xml:space="preserve">. Gmina nie ponosi odpowiedzialności za ewentualne różnice powstałe </w:t>
      </w:r>
      <w:r>
        <w:rPr>
          <w:rFonts w:asciiTheme="minorHAnsi" w:hAnsiTheme="minorHAnsi"/>
        </w:rPr>
        <w:br/>
        <w:t>w wyniku wznowienia granic nabytej nieruchomości.</w:t>
      </w:r>
    </w:p>
    <w:p w:rsidR="004A3694" w:rsidRDefault="004A3694" w:rsidP="004A3694">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4A3694" w:rsidRDefault="004A3694" w:rsidP="004A3694">
      <w:pPr>
        <w:jc w:val="both"/>
        <w:rPr>
          <w:rFonts w:asciiTheme="minorHAnsi" w:hAnsiTheme="minorHAnsi"/>
        </w:rPr>
      </w:pPr>
    </w:p>
    <w:p w:rsidR="004A3694" w:rsidRDefault="004A3694" w:rsidP="004A3694">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18,pok. 210,  212 lub telefonicznie pod numerami 91-43-118-90, 91-43-118-68.</w:t>
      </w:r>
    </w:p>
    <w:p w:rsidR="004A3694" w:rsidRDefault="004A3694" w:rsidP="004A3694">
      <w:pPr>
        <w:jc w:val="both"/>
        <w:rPr>
          <w:rFonts w:asciiTheme="minorHAnsi" w:hAnsiTheme="minorHAnsi"/>
        </w:rPr>
      </w:pPr>
    </w:p>
    <w:p w:rsidR="004A3694" w:rsidRDefault="004A3694" w:rsidP="004A3694">
      <w:pPr>
        <w:rPr>
          <w:rFonts w:asciiTheme="minorHAnsi" w:hAnsiTheme="minorHAnsi" w:cs="Arial"/>
        </w:rPr>
      </w:pPr>
      <w:r>
        <w:rPr>
          <w:rFonts w:asciiTheme="minorHAnsi" w:hAnsiTheme="minorHAnsi" w:cs="Arial"/>
        </w:rPr>
        <w:t>Zastrzega się prawo unieważnienia przetargu</w:t>
      </w:r>
    </w:p>
    <w:p w:rsidR="004A3694" w:rsidRDefault="004A3694" w:rsidP="004A3694">
      <w:pPr>
        <w:pStyle w:val="Nagwek1"/>
        <w:jc w:val="left"/>
        <w:rPr>
          <w:rFonts w:asciiTheme="minorHAnsi" w:hAnsiTheme="minorHAnsi"/>
        </w:rPr>
      </w:pPr>
    </w:p>
    <w:p w:rsidR="004A3694" w:rsidRDefault="004A3694" w:rsidP="004A3694">
      <w:pPr>
        <w:jc w:val="both"/>
        <w:rPr>
          <w:rFonts w:asciiTheme="minorHAnsi" w:hAnsiTheme="minorHAnsi"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4A3694" w:rsidRDefault="004A3694" w:rsidP="004A3694">
      <w:pPr>
        <w:spacing w:after="160" w:line="252" w:lineRule="auto"/>
        <w:jc w:val="both"/>
        <w:rPr>
          <w:rFonts w:asciiTheme="minorHAnsi" w:hAnsiTheme="minorHAnsi" w:cs="Arial"/>
          <w:sz w:val="32"/>
        </w:rPr>
      </w:pPr>
    </w:p>
    <w:p w:rsidR="004A3694" w:rsidRDefault="004A3694" w:rsidP="004A3694">
      <w:pPr>
        <w:spacing w:after="160" w:line="252" w:lineRule="auto"/>
        <w:jc w:val="both"/>
        <w:rPr>
          <w:rFonts w:asciiTheme="minorHAnsi" w:hAnsiTheme="minorHAnsi" w:cs="Arial"/>
          <w:sz w:val="32"/>
        </w:rPr>
      </w:pPr>
    </w:p>
    <w:p w:rsidR="004A3694" w:rsidRDefault="004A3694" w:rsidP="004A3694">
      <w:pPr>
        <w:spacing w:after="160" w:line="252" w:lineRule="auto"/>
        <w:jc w:val="both"/>
        <w:rPr>
          <w:rFonts w:asciiTheme="minorHAnsi" w:hAnsiTheme="minorHAnsi" w:cs="Arial"/>
          <w:sz w:val="32"/>
        </w:rPr>
      </w:pPr>
    </w:p>
    <w:p w:rsidR="004A3694" w:rsidRDefault="004A3694" w:rsidP="004A3694">
      <w:pPr>
        <w:spacing w:after="160" w:line="252" w:lineRule="auto"/>
        <w:jc w:val="both"/>
        <w:rPr>
          <w:rFonts w:asciiTheme="minorHAnsi" w:hAnsiTheme="minorHAnsi" w:cs="Arial"/>
          <w:sz w:val="32"/>
        </w:rPr>
      </w:pPr>
    </w:p>
    <w:p w:rsidR="004A3694" w:rsidRDefault="004A3694" w:rsidP="004A3694">
      <w:pPr>
        <w:spacing w:after="160" w:line="252" w:lineRule="auto"/>
        <w:jc w:val="both"/>
        <w:rPr>
          <w:rFonts w:asciiTheme="minorHAnsi" w:hAnsiTheme="minorHAnsi" w:cs="Arial"/>
          <w:sz w:val="32"/>
        </w:rPr>
      </w:pPr>
    </w:p>
    <w:p w:rsidR="004A3694" w:rsidRDefault="004A3694" w:rsidP="004A3694">
      <w:pPr>
        <w:spacing w:after="160" w:line="252" w:lineRule="auto"/>
        <w:jc w:val="both"/>
        <w:rPr>
          <w:rFonts w:asciiTheme="minorHAnsi" w:hAnsiTheme="minorHAnsi" w:cs="Arial"/>
          <w:sz w:val="32"/>
        </w:rPr>
      </w:pPr>
    </w:p>
    <w:p w:rsidR="004A3694" w:rsidRDefault="004A3694" w:rsidP="004A3694"/>
    <w:p w:rsidR="004A3694" w:rsidRDefault="004A3694" w:rsidP="004A3694">
      <w:pPr>
        <w:pStyle w:val="Nagwek1"/>
        <w:rPr>
          <w:rFonts w:asciiTheme="minorHAnsi" w:hAnsiTheme="minorHAnsi"/>
        </w:rPr>
      </w:pPr>
      <w:r>
        <w:rPr>
          <w:rFonts w:asciiTheme="minorHAnsi" w:hAnsiTheme="minorHAnsi"/>
        </w:rPr>
        <w:lastRenderedPageBreak/>
        <w:t>REGULAMIN</w:t>
      </w:r>
    </w:p>
    <w:p w:rsidR="004A3694" w:rsidRDefault="004A3694" w:rsidP="004A3694">
      <w:pPr>
        <w:jc w:val="both"/>
        <w:rPr>
          <w:rFonts w:asciiTheme="minorHAnsi" w:hAnsiTheme="minorHAnsi"/>
        </w:rPr>
      </w:pPr>
      <w:r>
        <w:rPr>
          <w:rFonts w:asciiTheme="minorHAnsi" w:hAnsiTheme="minorHAnsi"/>
        </w:rPr>
        <w:t xml:space="preserve">pierwszego przetargu ustnego nieograniczonego na </w:t>
      </w:r>
      <w:r>
        <w:rPr>
          <w:rFonts w:asciiTheme="minorHAnsi" w:hAnsiTheme="minorHAnsi" w:cstheme="minorHAnsi"/>
          <w:b/>
        </w:rPr>
        <w:t xml:space="preserve">sprzedaż </w:t>
      </w:r>
      <w:r>
        <w:rPr>
          <w:rFonts w:asciiTheme="minorHAnsi" w:hAnsiTheme="minorHAnsi" w:cs="Arial"/>
          <w:b/>
        </w:rPr>
        <w:t>prawa użytkowania wieczystego</w:t>
      </w:r>
      <w:r>
        <w:rPr>
          <w:rFonts w:asciiTheme="minorHAnsi" w:hAnsiTheme="minorHAnsi" w:cs="Arial"/>
        </w:rPr>
        <w:t xml:space="preserve">  nieruchomości oznaczonej numerem działki 1131/2 </w:t>
      </w:r>
      <w:r>
        <w:rPr>
          <w:rFonts w:asciiTheme="minorHAnsi" w:hAnsiTheme="minorHAnsi"/>
        </w:rPr>
        <w:t xml:space="preserve">z obrębu ewidencyjnego </w:t>
      </w:r>
      <w:r>
        <w:rPr>
          <w:rFonts w:asciiTheme="minorHAnsi" w:hAnsiTheme="minorHAnsi"/>
        </w:rPr>
        <w:br/>
        <w:t>2-Police.</w:t>
      </w:r>
    </w:p>
    <w:p w:rsidR="004A3694" w:rsidRDefault="004A3694" w:rsidP="004A3694">
      <w:pPr>
        <w:jc w:val="both"/>
        <w:rPr>
          <w:rFonts w:asciiTheme="minorHAnsi" w:hAnsiTheme="minorHAnsi" w:cs="Arial"/>
        </w:rPr>
      </w:pPr>
    </w:p>
    <w:p w:rsidR="004A3694" w:rsidRDefault="004A3694" w:rsidP="004A3694">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ogólnopolskim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 Gminy Police. </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28 listopada 2018 r. </w:t>
      </w:r>
      <w:r>
        <w:rPr>
          <w:rFonts w:asciiTheme="minorHAnsi" w:hAnsiTheme="minorHAnsi"/>
          <w:b/>
          <w:bCs/>
        </w:rPr>
        <w:t xml:space="preserve">Za datę wniesienia wadium uważa się datę wpływu środków pieniężnych na rachunek Gminy Police. Przy dokonaniu wpłaty wadium należy podać  oznaczenie nieruchomości, której dotyczy wpłacane wadium oraz dane </w:t>
      </w:r>
      <w:r>
        <w:rPr>
          <w:rFonts w:asciiTheme="minorHAnsi" w:hAnsiTheme="minorHAnsi"/>
          <w:b/>
        </w:rPr>
        <w:t>uczestnika przetargu.</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5000,00 zł.</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4A3694" w:rsidRDefault="004A3694" w:rsidP="004A3694">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4A3694" w:rsidRDefault="004A3694" w:rsidP="004A3694">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4A3694" w:rsidRDefault="004A3694" w:rsidP="004A3694">
      <w:pPr>
        <w:jc w:val="both"/>
        <w:rPr>
          <w:rFonts w:asciiTheme="minorHAnsi" w:hAnsiTheme="minorHAnsi" w:cs="Arial"/>
        </w:rPr>
      </w:pPr>
    </w:p>
    <w:p w:rsidR="004A3694" w:rsidRDefault="004A3694" w:rsidP="004A3694">
      <w:pPr>
        <w:rPr>
          <w:rFonts w:asciiTheme="minorHAnsi" w:hAnsiTheme="minorHAnsi" w:cs="Arial"/>
          <w:b/>
        </w:rPr>
      </w:pPr>
    </w:p>
    <w:p w:rsidR="004A3694" w:rsidRDefault="004A3694" w:rsidP="004A3694">
      <w:pPr>
        <w:rPr>
          <w:rFonts w:asciiTheme="minorHAnsi" w:hAnsiTheme="minorHAnsi" w:cs="Arial"/>
          <w:b/>
        </w:rPr>
      </w:pPr>
    </w:p>
    <w:p w:rsidR="004A3694" w:rsidRDefault="004A3694" w:rsidP="004A3694"/>
    <w:p w:rsidR="004A3694" w:rsidRDefault="004A3694" w:rsidP="004A3694"/>
    <w:p w:rsidR="004A3694" w:rsidRDefault="004A3694" w:rsidP="004A3694"/>
    <w:p w:rsidR="004A3694" w:rsidRDefault="004A3694" w:rsidP="004A3694"/>
    <w:p w:rsidR="002A45FB" w:rsidRDefault="002A45FB">
      <w:bookmarkStart w:id="0" w:name="_GoBack"/>
      <w:bookmarkEnd w:id="0"/>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45"/>
    <w:rsid w:val="002A45FB"/>
    <w:rsid w:val="004A3694"/>
    <w:rsid w:val="00B602BE"/>
    <w:rsid w:val="00F12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69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A3694"/>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3694"/>
    <w:rPr>
      <w:rFonts w:ascii="Arial" w:eastAsia="Calibri" w:hAnsi="Arial" w:cs="Arial"/>
      <w:sz w:val="32"/>
      <w:szCs w:val="24"/>
      <w:lang w:eastAsia="pl-PL"/>
    </w:rPr>
  </w:style>
  <w:style w:type="character" w:styleId="Hipercze">
    <w:name w:val="Hyperlink"/>
    <w:semiHidden/>
    <w:unhideWhenUsed/>
    <w:rsid w:val="004A3694"/>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4A3694"/>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4A3694"/>
    <w:rPr>
      <w:rFonts w:ascii="Arial" w:eastAsia="Calibri" w:hAnsi="Arial" w:cs="Times New Roman"/>
      <w:sz w:val="24"/>
      <w:szCs w:val="20"/>
      <w:lang w:eastAsia="pl-PL"/>
    </w:rPr>
  </w:style>
  <w:style w:type="paragraph" w:styleId="Akapitzlist">
    <w:name w:val="List Paragraph"/>
    <w:basedOn w:val="Normalny"/>
    <w:uiPriority w:val="34"/>
    <w:qFormat/>
    <w:rsid w:val="004A3694"/>
    <w:pPr>
      <w:ind w:left="720"/>
      <w:contextualSpacing/>
    </w:pPr>
  </w:style>
  <w:style w:type="character" w:styleId="Uwydatnienie">
    <w:name w:val="Emphasis"/>
    <w:basedOn w:val="Domylnaczcionkaakapitu"/>
    <w:uiPriority w:val="20"/>
    <w:qFormat/>
    <w:rsid w:val="004A36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69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A3694"/>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3694"/>
    <w:rPr>
      <w:rFonts w:ascii="Arial" w:eastAsia="Calibri" w:hAnsi="Arial" w:cs="Arial"/>
      <w:sz w:val="32"/>
      <w:szCs w:val="24"/>
      <w:lang w:eastAsia="pl-PL"/>
    </w:rPr>
  </w:style>
  <w:style w:type="character" w:styleId="Hipercze">
    <w:name w:val="Hyperlink"/>
    <w:semiHidden/>
    <w:unhideWhenUsed/>
    <w:rsid w:val="004A3694"/>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4A3694"/>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4A3694"/>
    <w:rPr>
      <w:rFonts w:ascii="Arial" w:eastAsia="Calibri" w:hAnsi="Arial" w:cs="Times New Roman"/>
      <w:sz w:val="24"/>
      <w:szCs w:val="20"/>
      <w:lang w:eastAsia="pl-PL"/>
    </w:rPr>
  </w:style>
  <w:style w:type="paragraph" w:styleId="Akapitzlist">
    <w:name w:val="List Paragraph"/>
    <w:basedOn w:val="Normalny"/>
    <w:uiPriority w:val="34"/>
    <w:qFormat/>
    <w:rsid w:val="004A3694"/>
    <w:pPr>
      <w:ind w:left="720"/>
      <w:contextualSpacing/>
    </w:pPr>
  </w:style>
  <w:style w:type="character" w:styleId="Uwydatnienie">
    <w:name w:val="Emphasis"/>
    <w:basedOn w:val="Domylnaczcionkaakapitu"/>
    <w:uiPriority w:val="20"/>
    <w:qFormat/>
    <w:rsid w:val="004A3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9285</Characters>
  <Application>Microsoft Office Word</Application>
  <DocSecurity>0</DocSecurity>
  <Lines>77</Lines>
  <Paragraphs>21</Paragraphs>
  <ScaleCrop>false</ScaleCrop>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2018-10-02T09:59:00Z</dcterms:created>
  <dcterms:modified xsi:type="dcterms:W3CDTF">2018-10-02T09:59:00Z</dcterms:modified>
</cp:coreProperties>
</file>